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BO.2021.0011 vom 7. Januar 2022</w:t>
      </w:r>
    </w:p>
    <w:p>
      <w:r>
        <w:t>VD Tribunal cantonal, 2022-01-07, FR</w:t>
      </w:r>
    </w:p>
    <w:p>
      <w:r>
        <w:rPr>
          <w:b/>
        </w:rPr>
        <w:t xml:space="preserve">Quelle: </w:t>
      </w:r>
      <w:r>
        <w:t>https://mcp.opencaselaw.ch/entscheid/vd_omni_BO.2021.0011</w:t>
      </w:r>
    </w:p>
    <w:p>
      <w:r>
        <w:t>FR: VD_OMNI BO.2021.0011 du 7 janvier 2022</w:t>
      </w:r>
    </w:p>
    <w:p>
      <w:r>
        <w:t>IT: VD_OMNI BO.2021.0011 del 7 gennaio 2022</w:t>
      </w:r>
    </w:p>
    <w:p>
      <w:pPr>
        <w:pStyle w:val="Heading2"/>
      </w:pPr>
      <w:r>
        <w:t>Regeste</w:t>
      </w:r>
    </w:p>
    <w:p>
      <w:r>
        <w:t>A.________/Office cantonal des bourses d'études et d'apprentissage | Refus de bourse par l'OCBE. L'existence de dissensions familiales invoquées par le requérant ne permettait pas à l'OCBE de retenir la capacité contributive des parents pour le calcul des besoins du requérant sans proposer préalablement une médiation familiale. Recours rejeté toutefois au raison du concubinage qualifié du requérant avec son amie, qui entre dès lors dans l'unité économique de référence pour le cacul du droit à la bourse. Concubinage fondé sur une relation sentimentale durant depuis près de cinq ans. Le requérant a vécu pendant deux ans dans le même immeuble que son amie dans un appartement loué spécialement en son nom par celle-ci pour l'intéressé. Le couple a ensuite emménagé conjointement. Il faisait ménage commun depuis 2 ans et sept mois au moment de la décision de l'OCBE. Contribution irrégulière du requérant aux charges du ménage commun laissant supposer que son amie y participe dans une proportion plus élevée.</w:t>
      </w:r>
    </w:p>
    <w:p>
      <w:pPr>
        <w:pStyle w:val="Heading2"/>
      </w:pPr>
      <w:r>
        <w:t>Erwägungen</w:t>
      </w:r>
    </w:p>
    <w:p>
      <w:r>
        <w:rPr>
          <w:b/>
        </w:rPr>
        <w:t>E. 1</w:t>
      </w:r>
    </w:p>
    <w:p>
      <w:r>
        <w:t>Aux termes de l'art. 92 al. 1 de la loi vaudoise du 28 octobre 2008 sur la procédure administrative (LPA-VD; RS 173.36), la CDAP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sur réclamation rendues par l’OCBE. Déposé en temps utile (art. 95 LPA-VD), selon les formes prescrites par la loi (art. 79 al. 1 et 99 LPA-VD), le recours est formellement recevable, de sorte qu'il y a lieu d'entrer en matière sur le fond.</w:t>
      </w:r>
    </w:p>
    <w:p>
      <w:r>
        <w:rPr>
          <w:b/>
        </w:rPr>
        <w:t>E. 2</w:t>
      </w:r>
    </w:p>
    <w:p>
      <w:r>
        <w:t>Le litige porte sur le refus d'octroi d'une bourse d'études en faveur du recourant. a) La loi cantonale du 1 er juillet 2014 sur l'aide aux études et à la formation professionnelle (LAEF; BLV 416.11) règle l'octroi d'aides financières aux personnes dont les ressources sont reconnues insuffisantes pour poursuivre une formation au-delà de la scolarité obligatoire (art. 1 LAEF). Toute personne remplissant les conditions fixées par cette loi a droit au soutien de l'Etat (art. 2 al. 2 LAEF). Cette aide est subsidiaire à celle de la famille, de toute autre personne tenue légalement de pourvoir à l'entretien de la personne en formation, ainsi qu'aux prestations de tiers (art. 2 al. 3 LAEF). L'aide aux études et à la formation professionnelle constitue une prestation catégorielle au sens de l'art. 2 al. 1 let. a de la loi du 9 novembre 2010 sur l'harmonisation et la coordination de l'octroi des prestations sociales et d'aide à la formation et au logement cantonales vaudoises (LHPS; BLV 850.03), de sorte que cette loi est également applicable (cf. également l'art. 21 al. 5 LAEF, qui détermine plus précisément dans quelle mesure). Pour cette raison, les calculs visant à déterminer le droit à l'octroi d'une bourse sont effectués sur la base des notions communes établies par cette loi, en particulier le revenu déterminant unifié (art. 6 LHPS) et l'unité économique de référence (art. 9 LHPS). b) Les principes de calcul de l'aide financière sont posés à l'art. 21 LAEF. L'aide de l'Etat couvre les besoins du requérant, comprenant ses charges normales et ses frais de formation, dans la mesure où ils dépassent sa capacité financière et celle des autres membres de l'unité économique de référence (al. 1). Les besoins du requérant sont déterminés en fonction d'un budget établi pour l'année de formation considérée (al. 2). Ce budget est séparé de celui des autres membres de l'unité économique de référence (al. 3, 1 ère phrase). La capacité financière est définie par la différence entre les charges normales et le revenu déterminant (al. 4). L'unité économique de référence (UER) comprend le requérant, ses parents et les autres enfants mineurs ou majeurs à charge de la famille, ainsi que toute autre personne tenue légalement de pourvoir à son entretien (art. 23 al. 1 LAEF). Elle peut aussi se composer du requérant et de son conjoint, auquel il convient d'assimiler le partenaire enregistré ou vivant en ménage commun, ainsi que les enfants à charge du requérant (art. 23 al.</w:t>
      </w:r>
    </w:p>
    <w:p>
      <w:r>
        <w:rPr>
          <w:b/>
        </w:rPr>
        <w:t>E. 3</w:t>
      </w:r>
    </w:p>
    <w:p>
      <w:r>
        <w:t>Quatre années d'exercice d'une activité lucrative assurant l'indépendance financière valent première formation.</w:t>
      </w:r>
    </w:p>
    <w:p>
      <w:r>
        <w:rPr>
          <w:b/>
        </w:rPr>
        <w:t>E. 4</w:t>
      </w:r>
    </w:p>
    <w:p>
      <w:r>
        <w:t>Le service militaire, le service civil, le chômage et la tenue d'un ménage avec des mineurs ou des personnes nécessitant des soins sont assimilés à l'exercice d'une activité lucrative.</w:t>
      </w:r>
    </w:p>
    <w:p>
      <w:r>
        <w:rPr>
          <w:b/>
        </w:rPr>
        <w:t>E. 5</w:t>
      </w:r>
    </w:p>
    <w:p>
      <w:r>
        <w:t>Au vu des considérants qui précèdent, le recours doit être rejeté et la décision de l'autorité intimée confirmée. Le recourant, qui succombe, supporte les frais de justice, arrêtés à 100 francs (art. 49 al. 1, 91 et 99 LPA-VD; art. 4 al. 1 du tarif cantonal du 28 avril 2015 des frais judiciaires et des dépens en matière administrative [TFJDA; BLV 173.36.5.1]).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