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BO.2021.0003 vom 19. Mai 2022</w:t>
      </w:r>
    </w:p>
    <w:p>
      <w:r>
        <w:t>VD Tribunal cantonal, 2022-05-19, FR</w:t>
      </w:r>
    </w:p>
    <w:p>
      <w:r>
        <w:rPr>
          <w:b/>
        </w:rPr>
        <w:t xml:space="preserve">Quelle: </w:t>
      </w:r>
      <w:r>
        <w:t>https://mcp.opencaselaw.ch/entscheid/vd_omni_BO.2021.0003</w:t>
      </w:r>
    </w:p>
    <w:p>
      <w:r>
        <w:t>FR: VD_OMNI BO.2021.0003 du 19 mai 2022</w:t>
      </w:r>
    </w:p>
    <w:p>
      <w:r>
        <w:t>IT: VD_OMNI BO.2021.0003 del 19 maggio 2022</w:t>
      </w:r>
    </w:p>
    <w:p>
      <w:pPr>
        <w:pStyle w:val="Heading2"/>
      </w:pPr>
      <w:r>
        <w:t>Regeste</w:t>
      </w:r>
    </w:p>
    <w:p>
      <w:r>
        <w:t>A.________/Office cantonal des bourses d'études et d'apprentissage | Confirmation de la décision de l'OCBEA réduisant le montant de la bourse allouée au recourant, pour l'année de formation 2017-2018, sur la base des revenus accessoires non annoncés bien que réalisés durant cette période, et ordonnant le remboursement de l'indu. L'intégration de ces revenus accesoires dans le budget du recourant aboutit à une modification importante de sa situation financière, justifiant la réduction de la bourse allouée et la restitution de l'allocation indûment perçue. La LAEF ne contient pas de disposition autorisant l'Etat à renoncer au remboursement de prestations indues; le système légal ne permet dès lors pas de tenir compte de la situation financière difficile du recourant et d'entrer en matière sur sa demande de remise de dette. Par ailleurs, le recourant, qui a employé le montant en cause pour couvrir ses dépenses nécessaires, est considéré comme enrichi. Recours rejeté.</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dans la procédure de recours est le rapport juridique réglé dans la décision attaquée, dans la mesure où - d'après les conclusions du recours - il est remis en question par la partie recourante (cf. ATF 144 II 359 consid. 4.3; voir aussi arrêts TF 2C_470/2017 du</w:t>
      </w:r>
    </w:p>
    <w:p>
      <w:r>
        <w:rPr>
          <w:b/>
        </w:rPr>
        <w:t>E. 6</w:t>
      </w:r>
    </w:p>
    <w:p>
      <w:r>
        <w:t>Il résulte des considérants qui précèdent que le recours doit être rejeté et la décision attaquée confirmée. Succombant, le recourant doit supporter les frais de justice (art. 49 al. 1, 91 et 99 LPA-VD; art. 4 al. 1 du Tarif du 28 avril 2015 des frais judiciaires et des dépens en matière administrative [TFJDA; BLV 173.36.5.1]). Il n'y a pas lieu d'allouer de dépens (art. 55 al. 1 LPA-VD et 10 et 11 TFJDA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