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BO.2020.0005 vom 12. Juni 2020</w:t>
      </w:r>
    </w:p>
    <w:p>
      <w:r>
        <w:t>VD Tribunal cantonal, 2020-06-12, FR</w:t>
      </w:r>
    </w:p>
    <w:p>
      <w:r>
        <w:rPr>
          <w:b/>
        </w:rPr>
        <w:t xml:space="preserve">Quelle: </w:t>
      </w:r>
      <w:r>
        <w:t>https://mcp.opencaselaw.ch/entscheid/vd_omni_BO.2020.0005</w:t>
      </w:r>
    </w:p>
    <w:p>
      <w:r>
        <w:t>FR: VD_OMNI BO.2020.0005 du 12 juin 2020</w:t>
      </w:r>
    </w:p>
    <w:p>
      <w:r>
        <w:t>IT: VD_OMNI BO.2020.0005 del 12 giugno 2020</w:t>
      </w:r>
    </w:p>
    <w:p>
      <w:pPr>
        <w:pStyle w:val="Heading2"/>
      </w:pPr>
      <w:r>
        <w:t>Regeste</w:t>
      </w:r>
    </w:p>
    <w:p>
      <w:r>
        <w:t>A.________/Office cantonal des bourses d'études et d'apprentissage | Recours contre une décision de refus de bourse à un étudiant, membre d'une famille composée de 2 adultes et 3 enfants. Pas de prise en compte d'un budget commun à toute la famille pour déterminer le droit à la bourse du recourant, mais confirmation que des budgets séparés doivent être établis pour celui-ci et ses parents, conformément au système légal. Prise en compte uniquement des charges normales et des frais de formations fixés forfaitairement par la LAEF et le RLAEF, et non des frais effectifs invoqués par le recourant dans l'établissement des budgets. Concernant le budget des parents, le système légal ne prévoit pas la prise en compte des frais d'entretien de leur belle-fille (la femme du frère du recourant) qui vit également dans leur foyer avec leur fils, même si elle est à leur charge. Rejet du recours.</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(CDAP BO.2017.0004 du 24 juillet 2017 consid. 1).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Le litige porte sur le point de savoir si le recourant a le droit à une bourse d'études pour l'année 2019/2020, plus particulièrement se pose la question de la prise en compte dans le budget de ses parents des charges de la femme de son frère, tous deux sans revenu, ainsi que du revenu des parents à prendre en considération. Le recourant invoque encore la prise en compte de divers frais effectifs pour lui et son frère, également étudiant, pour le calcul de la bourse (notamment des frais d'ordinateur, de nourriture et de transport). Il fait aussi valoir que son père a débuté un EMBA, dont les frais d'inscription s'élèvent à 47'000 francs.</w:t>
      </w:r>
    </w:p>
    <w:p>
      <w:r>
        <w:rPr>
          <w:b/>
        </w:rPr>
        <w:t>E. 3</w:t>
      </w:r>
    </w:p>
    <w:p>
      <w:r>
        <w:t>Le budget du requérant et, le cas échéant, des personnes visées à l'article 23, alinéa 3, est séparé de celui des personnes visées à l'article 23, alinéas 1 et 2. Lorsque les parents du requérant sont séparés ou divorcés, des budgets séparés propres à chaque cellule familiale sont établis, sous réserve de l'article 24, alinéas 1 et 2.</w:t>
      </w:r>
    </w:p>
    <w:p>
      <w:r>
        <w:rPr>
          <w:b/>
        </w:rPr>
        <w:t>E. 4</w:t>
      </w:r>
    </w:p>
    <w:p>
      <w:r>
        <w:t>La capacité financière est définie par la différence entre les charges normales et le revenu déterminant.</w:t>
      </w:r>
    </w:p>
    <w:p>
      <w:r>
        <w:rPr>
          <w:b/>
        </w:rPr>
        <w:t>E. 5</w:t>
      </w:r>
    </w:p>
    <w:p>
      <w:r>
        <w:t>Au vu de ce qui précède, le recours est rejeté, ce qui entraîne la confirmation de la décision attaquée. Les frais de justice, par 100 francs, sont mis à la charge du recourant qui n'obtient pas gain de cause (art. 49 al. 1 LPA-VD). Aucune partie ne peut prétendre à une allocation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