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BO.2019.0021 vom 13. Dezember 2019</w:t>
      </w:r>
    </w:p>
    <w:p>
      <w:r>
        <w:t>VD Tribunal cantonal, 2019-12-13, FR</w:t>
      </w:r>
    </w:p>
    <w:p>
      <w:r>
        <w:rPr>
          <w:b/>
        </w:rPr>
        <w:t xml:space="preserve">Quelle: </w:t>
      </w:r>
      <w:r>
        <w:t>https://mcp.opencaselaw.ch/entscheid/vd_omni_BO.2019.0021</w:t>
      </w:r>
    </w:p>
    <w:p>
      <w:r>
        <w:t>FR: VD_OMNI BO.2019.0021 du 13 décembre 2019</w:t>
      </w:r>
    </w:p>
    <w:p>
      <w:r>
        <w:t>IT: VD_OMNI BO.2019.0021 del 13 dicembre 2019</w:t>
      </w:r>
    </w:p>
    <w:p>
      <w:pPr>
        <w:pStyle w:val="Heading2"/>
      </w:pPr>
      <w:r>
        <w:t>Regeste</w:t>
      </w:r>
    </w:p>
    <w:p>
      <w:r>
        <w:t>A.________/Office cantonal des bourses d'études et d'apprentissage | Confirmation de la décision de l'OCBE, qui refuse de mettre le recourant au bénéfice d'une remise de l'obligation de restituer. La demande de remise doit être examinée sur la base du droit en vigueur jusqu'au 31 décembre 2015, dans la mesure où le remboursement requis a trait à la période de formation 2013/2014. Or, l'ancienne loi n'autorisait pas à l'autorité intimée à renoncer au remboursement. le fait que le recourant ait été mineur lorsque la bourse lui a été octroyée n'est pas déterminant lorsque, comme en l'espèce, les prestations versées n'ont pas été détournées à son profit par le détenteur de l'autorité parentale. Recours rejeté. Recours au TF irrecevable (2D_1/2020 du 6 janvier 2020).</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(arrêt BO.2017.0004 du 24 juillet 2017 consid. 1). b) Interjeté dans le délai légal de trente jours suivant la notification de la décision entreprise (art. 95 LPA-VD), le recours a été déposé en temps utile. Il satisfait en outre aux autres conditions formelles de recevabilité ( cf . art. 79 al. 1 LPA-VD, applicable par analogie par renvoi de l'art. 99 LPA-VD), de sorte qu'il y a lieu d'entrer en matière sur le fond.</w:t>
      </w:r>
    </w:p>
    <w:p>
      <w:r>
        <w:rPr>
          <w:b/>
        </w:rPr>
        <w:t>E. 2</w:t>
      </w:r>
    </w:p>
    <w:p>
      <w:r>
        <w:t>L'obligation du recourant de restituer les prestations perçues indûment, à concurrence de 2'983 fr., a déjà fait l'objet d'une décision rendue par l'OCBE le 28 mars 2014, qui n'a pas été contestée. Cette décision avait à l'époque été valablement notifiée au représentant légal du recourant, qui était alors encore mineur. N'ayant pas fait l'objet d'une réclamation, elle est entrée en force. La présente procédure ne porte donc pas sur cette problématique, mais uniquement sur le point de savoir si le recourant peut exiger la remise de l'obligation de restituer.</w:t>
      </w:r>
    </w:p>
    <w:p>
      <w:r>
        <w:rPr>
          <w:b/>
        </w:rPr>
        <w:t>E. 3</w:t>
      </w:r>
    </w:p>
    <w:p>
      <w:r>
        <w:t>La décision entreprise a été rendue le 28 juin 2019, mais concerne l'année de formation 2013/2014. Il convient ainsi de déterminer quel est le droit applicable à la demande de remise du recourant. a) L'interdiction de la rétroactivité (proprement dite) des lois, qui découle des art. 5 al. 1 et 9 Cst., fait obstacle à l'application d'une norme à des faits entièrement révolus avant son entrée en vigueur (ATF 138 I 189 consid. 3.4 p. 193; ATF 133 III 105 consid. 2.1.1 p. 108).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(cf. ATF 140 V 154 consid. 6.3.2 p. 163; 138 I 189 consid. 3.4 p. 193 s.; 137 II 371 consid. 4.2 p. 374). La légalité d'un acte administratif doit être examinée en fonction de l'état de droit prévalant au moment de son prononcé, sous réserve de l'existence de dispositions transitoires; en conséquence, l'autorité de recours doit vérifier la bonne application du droit en vigueur au moment où l'autorité administrative a pris sa décision (ATF 139 II 243 consid. 11.1 p. 259 et les références citées). b) Dans sa jurisprudence rendue en application de l'ancienne loi du 11 septembre 1973 sur l'aide aux études et à la formation professionnelle (aLAEF) et de son règlement d'application du 21 février 1975 (aRLAEF), le Tribunal cantonal avait relevé que la loi ne contenait aucune disposition autorisant l'Etat à renoncer au remboursement de prestations indues, de sorte qu'il était impossible d'entrer en matière sur une éventuelle demande de remise de dette (arrêts BO.2018.0008 du 7 décembre 2018 consid. 2b; BO.2014.0011 du 15 septembre 2014 consid. 3a; BO.2013.0036 du 27 mai 2014; BO.2013.0020 du 18 septembre 2013; BO.2012.0004 du 5 décembre 2012). La nouvelle loi du 1 er juillet 2014 sur l'aide aux études et à la formation professionnelle (LAEF; BLV 416.11), entrée en vigueur le 1 er janvier 2016, prévoit désormais expressément, à son art. 34 al. 4, ainsi qu'à l'art. 43 du règlement du 11 novembre 2015 d'application de la LAEF (RLAEF; RSV 416.11.1), la possibilité de renoncer au remboursement du prêt. L'art. 33 al. 4 LAEF renvoie, s'agissant du remboursement des frais de formation pour la période de formation suivie, à l'art. 34 al. 4 LAEF précité. L'art. 33 LAEF ne dit en revanche rien de la faculté, pour l'Etat, de renoncer au remboursement de l'aide financière perçue pour la période de formation non suivie (cf. art. 33 al. 2 LAEF). Cela étant, la question de savoir si la jurisprudence rendue sous l'ancien droit conserve toute sa portée pour une demande de remise portant sur le remboursement des frais de formation pour une période de formation non suivie (dans ce sens arrêt BO.2018.0044 du 1 er juillet 2019, consid. 4) peut rester indécise. En effet, le présent litige, qui a trait à des prestations et une demande de restitution rendues en application de l'ancien droit, doit être examinée à l'aune des dispositions de l'aLAEF et de son règlement d'application, l'art. 50 al. 3 LAEF prévoyant expressément, à titre de disposition transitoire, que les décisions de restitution des allocations pour abandon de formation rendues en application de l'ancienne législation restent valable après l'entrée en vigueur de la présente loi, et ce, jusqu'au remboursement complet des montants qu'elles ont fixés.</w:t>
      </w:r>
    </w:p>
    <w:p>
      <w:r>
        <w:rPr>
          <w:b/>
        </w:rPr>
        <w:t>E. 4</w:t>
      </w:r>
    </w:p>
    <w:p>
      <w:r>
        <w:t>Le recourant s'oppose à la restitution des allocations perçues en se prévalant du fait qu'il était mineur lorsque la bourse d'études lui a été octroyée et qu'il n'avait pas connaissance des décisions rendues par l'autorité intimée. a) Qu'ils agissent en tant que représentants légaux ou comme mandataires de leur enfant majeur, les parents ne sont pas eux-mêmes titulaires du droit au soutien financier de l'Etat (art. 4 et 6 aLAEF). Le remboursement d'une aide versée à tort ne peut donc être exigée, dans les cas prévus par la loi, que de leur bénéficiaire (art. 28 aLAEF), soit de l'élève, de l'étudiant ou de l'apprenti en faveur de qui elle a été versée. Les parents ne sont débiteurs d'une éventuelle créance en remboursement de l'Etat que dans l'hypothèse où ils auraient, en violation de leurs obligations légales, détourné à leur profit les prestations destinées à leur enfant (arrêts BO.2011.0023 du 5 novembre 2011 consid. 3d; BO.2000.0050 du 30 juin 2000 consid. 2b; BO.1997.0067 du 13 janvier 1998 consid. 1; BO.1997.0007 du 24 juillet 1997 consid. 1). b) En l'occurrence, même si le recourant n'a pas reçu directement de l'autorité intimée les prestations dont le remboursement est requis, il en a bénéficié par l'intermédiaire des versements du CSI en faveur de ses parents. Le recourant ne soutient pas que ceux-ci auraient détourné à leur profit les prestations lui étant destinées, de sorte que le recourant peut bien être tenu pour débiteur de la créance en remboursement des prestations indûment versées. En outre, comme on l'a vu ci-dessus, la LAEF, la loi ne contient aucune disposition autorisant l'Etat à renoncer au remboursement de prestations indues, de sorte qu'il est impossible d'entrer en matière sur une éventuelle demande de remise de dette (cf. consid. 3b ci-dessus). Il suit de ce qui précède que l'autorité intimée n'avait pas d'autre choix que de rejeter la demande de remise du recourant.</w:t>
      </w:r>
    </w:p>
    <w:p>
      <w:r>
        <w:rPr>
          <w:b/>
        </w:rPr>
        <w:t>E. 5</w:t>
      </w:r>
    </w:p>
    <w:p>
      <w:r>
        <w:t>Mal fondé, le recours doit être rejeté et la décision attaquée confirmée. Vu la situation du recourant, il ne sera pas perçu de frais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