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BO.2017.0020 vom 6. Juni 2018</w:t>
      </w:r>
    </w:p>
    <w:p>
      <w:r>
        <w:t>VD Tribunal cantonal, 2018-06-06, FR</w:t>
      </w:r>
    </w:p>
    <w:p>
      <w:r>
        <w:rPr>
          <w:b/>
        </w:rPr>
        <w:t xml:space="preserve">Quelle: </w:t>
      </w:r>
      <w:r>
        <w:t>https://mcp.opencaselaw.ch/entscheid/vd_omni_BO.2017.0020</w:t>
      </w:r>
    </w:p>
    <w:p>
      <w:r>
        <w:t>FR: VD_OMNI BO.2017.0020 du 6 juin 2018</w:t>
      </w:r>
    </w:p>
    <w:p>
      <w:r>
        <w:t>IT: VD_OMNI BO.2017.0020 del 6 giugno 2018</w:t>
      </w:r>
    </w:p>
    <w:p>
      <w:pPr>
        <w:pStyle w:val="Heading2"/>
      </w:pPr>
      <w:r>
        <w:t>Regeste</w:t>
      </w:r>
    </w:p>
    <w:p>
      <w:r>
        <w:t>A.________/Office cantonal des bourses d'études et d'apprentissage | Recours d'un étudiant contre le refus de l'OCBE de prendre en considération, dans le cadre du calcul de sa bourse, "une garde de fait" sur sa fille prévue dans une convention ratifiée pour valoir jugement de modification de divorce. Une garde de fait, qui correspond en l'occurrence à un droit de visite élargi, se distingue d'une garde alternée ou partagée et c'est à juste titre que l'autorité intimée a retenu que le recourant n'exerçait pas de garde partagée au sens de l'article 26 RLAEF.</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lequel a été suspendu par les féries (art. 96 al. 1 let. b LPA-VD),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Les décisions rendues en application de l'ancienne législation déploient leurs effets jusqu'à la fin de l’année de formation concernée, sous réserve de l'alinéa 3.</w:t>
      </w:r>
    </w:p>
    <w:p>
      <w:r>
        <w:rPr>
          <w:b/>
        </w:rPr>
        <w:t>E. 3</w:t>
      </w:r>
    </w:p>
    <w:p>
      <w:r>
        <w:t>Les décisions de restitution des allocations pour abandon de formation rendues en application de l'ancienne législation restent valables après l'entrée en vigueur de la présente loi, et ce, jusqu'au remboursement complet des montants qu'elles ont fixés.</w:t>
      </w:r>
    </w:p>
    <w:p>
      <w:r>
        <w:rPr>
          <w:b/>
        </w:rPr>
        <w:t>E. 4</w:t>
      </w:r>
    </w:p>
    <w:p>
      <w:r>
        <w:t>Le recourant semble ensuite reprocher à l'autorité intimée de lui avoir fourni des renseignements erronés au sujet de la notion de garde partagée, qui l'auraient amené à ouvrir une procédure civile en modification du jugement de divorce, qui s'est finalement avérée inutile. Il sous-entend ainsi avoir entrepris des démarches en vue de la modification de son jugement de divorce suite aux renseignements reçus. a) A supposer que le recourant entende se prévaloir sous cet angle du principe de la bonne foi, son argumentation devrait être écartée.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notamment lorsqu'il a réglé sa conduite d'après des décisions, des déclarations ou un comportement déterminé de l'administration (ATF 129 I 161 consid. 4.1 p. 170, 361 consid. 7.1 p. 381; 128 II 112 consid. 10b/aa p. 125/126,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b) En l’occurrence, il ne ressort pas du dossier, et en particulier des échanges écrits intervenus par courriels, que l'OCBE aurait affirmé ou assuré au recourant qu'une partie des frais d'entretien de sa fille serait prise en compte dans son calcul de bourse. Il semble évident qu'avant de disposer d'une décision modifiant le jugement de divorce, l'OCBE ne pouvait pas se prononcer sur la situation concrète du recourant et ne pouvait que se limiter à donner des indications d'ordre général. Le recourant n'apporte pas la preuve que l'OCBE lui aurait donné des garanties concrètes que, dans sa situation, il serait considéré qu'il exerçait une garde partagée. c) En outre, le recourant ne démontre aucunement que c'est sur la base des allégations ou des renseignements pris auprès de l'OCBE qu'il a effectué les démarches visant à la modification de son jugement de divorce. Au niveau temporel, aucun élément ne permet d'affirmer que son comportement est la conséquence des informations reçues. d) A l'instar de l'OCBE, le tribunal de céans constate que le recourant évoque des affirmations qui lui auraient notamment été faites entre juin 2015 et janvier 2016, soit sous l'égide de la aLAEF. Comme évoqué, la nouvelle loi sur l'aide aux études et à la formation professionnelle est entrée en vigueur au 1 er avril 2016. Les dispositions concernant la prise en compte des charges de la famille ont été complètement modifiées dans le cadre du nouveau dispositif légal. On relèvera encore que, dans la mesure où le recourant a consulté un avocat afin de faire modifier son jugement de divorce, celui-ci aurait pu, si le recourant avait mal compris les informations transmises, donner tous les éléments utiles tant au sujet du domaine des bourses d'études qu'au sujet de la notion de garde partagée. Compte tenu de l'ensemble de ce qui précède, il y a lieu d'admettre que les conditions permettant au recourant de se prévaloir de sa bonne foi ne sont manifestement pas réunies.</w:t>
      </w:r>
    </w:p>
    <w:p>
      <w:r>
        <w:rPr>
          <w:b/>
        </w:rPr>
        <w:t>E. 5</w:t>
      </w:r>
    </w:p>
    <w:p>
      <w:r>
        <w:t>Les autres personnes tenues légalement de pourvoir à l’entretien du requérant sont traitées de la même manière que les parents dans le cadre de la présente disposition". L'article 24 RLAEF détermine les charges du requérant. Il est ainsi précisé à l'alinéa 4 que les enfants à charge du requérant séparé ou divorcé sont pris en compte dans le ménage pour le calcul des charges normales de base totales, si le requérant en a la garde, respectivement, s'ils sont majeurs, s'ils résident chez le requérant. L'article 26 RLAEF, qui régit la répartition des revenus et charges des enfants, précise que les revenus et les charges normales des enfants du requérant sont ajoutés à ses propres revenus et charges pour moitié, si le requérant est marié ou s'il est séparé ou divorcé et exerce une garde partagée (let. a), en totalité, si le requérant est séparé ou divorcé et exerce seul la garde (let. b). Cette disposition prend ainsi en compte deux situations différentes qui peuvent se présenter pour un requérant séparé ou divorcé: soit le requérant exerce seul la garde de ses enfants (art. 26 al. 1 lit a RLAEF), soit il exerce une garde partagée (art. 26 al. 1 lit b RLAEF). L'article 26 al. 2 RLAEF énonce encore que si le requérant séparé ou divorcé exerce une garde partagée, un supplément forfaitaire pour le logement lui est alloué. b) Dans le nouveau droit de l’autorité parentale, entré en vigueur le 1 er juillet 2014 (RO 2014 364), la notion de "droit de garde" – qui se définissait auparavant comme la compétence de déterminer le lieu de résidence et le mode d’encadrement quotidien de l’enfant – a été remplacée par celle du "droit de déterminer le lieu de résidence de l’enfant", qui constitue désormais une composante à part entière de l’autorité parentale (cf. art. 301a al. 1 CC ; ATF 142 III 617 consid. 3.2.2). Le générique de "garde" se réduit désormais à la seule dimension de la "garde de fait", qui se traduit par l’encadrement quotidien de l’enfant et par l’exercice des droits et des devoirs liés aux soins et à l’éducation courante (ATF 142 III 617 consid. 3.2.2 et les références citées). La garde alternée (aussi dite partagée)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 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 Le nouveau droit de l’entretien de l’enfant et du partage de la prévoyance, Bohnet et Dupont (éd.), unine 2016, pp. 121 ss et les références citées). Par conséquent, en présence d’une autorité parentale exercée en commun, les tribunaux devront examiner la possibilité d’organiser une garde alternée même lorsqu’un seul des parents le demande (Message, p. 547). Un parent ne peut déduire du principe de l’autorité parentale conjointe le droit de pouvoir effectivement s’occuper de l’enfant (TF 5A_266/2015 du 24 juin 2015 consid. 4.2.2.1 ; TF 5A_46/2015 du 26 mai 2015 consid. 4.4.3). Ainsi, 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5A_266/2015 du 24 juin 2015 consid. 4.2.2.1; 5A_46/2015 du 26 mai 2015 consid. 4.4.3). Le juge doit néanmoins examiner, nonobstant et indépendamment de l'accord des parents quant à une garde alternée, si celle-ci est possible et compatible avec le bien de l'enfant (arrêts 5A_904/2015 du 29 septembre 2016 consid. 3.2.3 destiné à la publication; 5A_991/2015 du 29 septembre 2016 consid. 4.2 destiné à la publication; 5A_527/2015 du 6 octobre 2015 consid. 4). En matière d'attribution des droits parentaux, le bien de l'enfant constitue la règle fondamentale (ATF 141 III 328 consid. 5.4), les intérêts des parents devant être relégués au second plan (ATF 131 III 209 consid. 5).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étant précisé que l'audition d'un enfant est possible dès qu'il a six ans révolus (ATF 133 III 553 consid. 3 ; ATF 131 III 553 consid. 1.2.3).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b) On relèvera encore que, s'agissant de la problématique des contributions d’entretien, en cas de garde alternée, plusieurs méthodes peuvent être envisagées pour tenir compte de la répartition des charges de l'enfant entre parents (de Weck-Immelé, in Commentaire pratique, Droit matrimonial, fond et procédure, Bâle 2016, n. 163 ad art. 176 CC et les références citées): fixation de la contribution selon un droit de visite ordinaire, puis réduction tenant compte de la prise en charge financière effective du parent débiteur; répartition des frais effectifs des enfants entre parents en proportion de leur solde disponible respectif; répartition de la charge des enfants entre les parents en proportion de leur solde disponible respectif après avoir établi le coût des enfants et soustrait les coûts directement pris en charge par chacun d'entre eux (TF 5A_386/2012 du 23 juillet 2012 consid. 4.2.2 ; TF 5A_497/2011 du 5 décembre 2011 consid. 7.4); paiement de toutes les charges de l'enfant par l'un des parents et versement d'une contribution d'entretien usuelle assumée par l'autre (TF 5A_419/2009 du 15 septembre 2009 consid. 7.2). En cas de garde alternée avec prise en charge de l'enfant à parts égales, il n'est pas exclu que l'un des parents doive, outre la prise en charge, verser une contribution pécuniaire (TF 5A_86/2016 du 5 septembre 2016 consid. 7.4.2 ; TF 5A_205/20013 du 29 juillet 2014 ; CACI 23 décembre 2016/708 consid. 5.2.2). c) L’art. 273 al. 1 CC prévoit que le père ou la mère qui ne détient pas l’autorité parentale ou la garde ainsi que l’enfant mineur ont réciproquement le droit d’entretenir les relations personnelles indiquées par les circonstances (TF 5A_53/2017 du 23 mars 2017 consid. 5.1 et références citées).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 751, pp. 486 et 487). Le droit aux relations personnelles constitue ainsi non seulement un droit, mais également un devoir des parents, et également un droit de la personnalité de l'enfant ; il doit servir en premier lieu l'intérêt de celui-ci (TF 5A_ 53/2017 du 23 mars 2017 consid. 5.1 et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références citées) Le parent qui ne détient pas la garde et l'enfant mineur ont réciproquement le droit d'entretenir les relations personnelles indiquées par les circonstances (art. 273, al. 1 CC). Ce droit à l'exercice des relations personnelles comprend notamment ce qui est communément appelé "droit de visite". Ce droit de visite peut être plus ou moins étendu ; il peut également être fixé de manière stricte par la convention ou le jugement ou au contraire être laissé à la libre entente des parties. Le fait que le parent non-gardien dispose d'un droit de visite, même étendu, ne signifie cependant pas que l'on soit en présence d'une garde alternée, puisque les conditions mentionnées ci-dessus, en particulier le fait que l'enfant partage son temps chez ses deux parents de manière plus ou moins égales, doivent être réunies.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La notion de "relations personnelles indiquées par les circonstances" diffère selon la doctrine et les tribunaux, ainsi que selon les pratiques régionales. En Suisse romande, le droit de visite usuel est d’un week-end sur deux, de la moitié des vacances scolaires et des jours fériés en alternance. Même si cette pratique joue un rôle dans la fixation du droit de visite, il est admissible de s’en écarter dans un cas concret (De Luze/Page/Stoudmann, Droit de la famille, Lausanne 2013, n. 1.5 ad art. 273 CC et les ATF 130 III 585 consid. 2.1 et 123 III 445 consid. 3a cités).</w:t>
      </w:r>
    </w:p>
    <w:p>
      <w:r>
        <w:rPr>
          <w:b/>
        </w:rPr>
        <w:t>E. 6</w:t>
      </w:r>
    </w:p>
    <w:p>
      <w:r>
        <w:t>al. 2 RLAEF appuie d'ailleurs cette position. Il ressort de cette disposition que le législateur en matière de bourses a non seulement distingué l'autorité parentale et la garde comme deux notions distinctes, mais encore que, s'agissant de la garde en cas de couple séparé ou divorcé, il a prévu deux situations : soit il y a une garde principale à l'un des parents (et éventuellement un droit de visite à l'autre), soit il y a une garde partagée à parts égales. En matière de partage des charges, l'objectif du RLAEF est de toute évidence de tenir compte du fait qu'un parent qui a ses enfants auprès de lui la moitié du temps a des charges plus importantes que celui qui n'a ses enfants auprès de lui que pour l'exercice d'un droit de visite usuel ou un peu plus étendu. Le dispositif légal ne pouvant pas tenir compte dans les détails de chaque cas particulier qui peut se produire dès lors que les parties ont une grande latitude dans l'organisation du droit de garde et des relations personnelles, le RLAEF se limite à prévoir les deux situations les plus fréquentes en pratique, à savoir lorsque l'une ou l'un des parents dispose de la garde principale et l'autre d'un droit de visite et lorsque les parents se partagent la garde des enfants à parts égales. Ni la LAEF ni son règlement d'application ne donnent des droits différents à la personne qui est détentrice de l'autorité parentale qu'à celle qui ne l'est pas. L'autorité parentale est uniquement mentionnée à l'art. 6 RLAEF, qui traite du domicile déterminant des parents séparés ou divorcés. c) Par conséquent, c'est à juste titre que l'autorité intimée a retenu que le recourant n'exerçait pas sur sa fille une garde partagée au sens de l'article 26 RLAEF.</w:t>
      </w:r>
    </w:p>
    <w:p>
      <w:r>
        <w:rPr>
          <w:b/>
        </w:rPr>
        <w:t>E. 7</w:t>
      </w:r>
    </w:p>
    <w:p>
      <w:r>
        <w:t>Le recours, mal fondé, doit être rejeté, ce qui entraîne la confirmation de la décision sur réclamation. Le recourant, qui succombe, doit supporter les frais de justice (art. 49 LPA-VD). Vu l'issue de la cause,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