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BO.2017.0004 vom 24. Juli 2017</w:t>
      </w:r>
    </w:p>
    <w:p>
      <w:r>
        <w:t>VD Tribunal cantonal, 2017-07-24, FR</w:t>
      </w:r>
    </w:p>
    <w:p>
      <w:r>
        <w:rPr>
          <w:b/>
        </w:rPr>
        <w:t xml:space="preserve">Quelle: </w:t>
      </w:r>
      <w:r>
        <w:t>https://mcp.opencaselaw.ch/entscheid/vd_omni_BO.2017.0004</w:t>
      </w:r>
    </w:p>
    <w:p>
      <w:r>
        <w:t>FR: VD_OMNI BO.2017.0004 du 24 juillet 2017</w:t>
      </w:r>
    </w:p>
    <w:p>
      <w:r>
        <w:t>IT: VD_OMNI BO.2017.0004 del 24 luglio 2017</w:t>
      </w:r>
    </w:p>
    <w:p>
      <w:pPr>
        <w:pStyle w:val="Heading2"/>
      </w:pPr>
      <w:r>
        <w:t>Regeste</w:t>
      </w:r>
    </w:p>
    <w:p>
      <w:r>
        <w:t>A.________/Office cantonal des bourses d'études et d'apprentissage, UCBA, Union centrale suisse pour le bien des aveugles | Conditions pour l'octroi d'une aide financière pour une formation à l'étranger non réalisées: la formation suivie par la recourante en France ne se termine en effet pas par un titre pouvant être reconnu en Suisse selon les critères de l'art. 69b al. 2 OFPr en relation avec l'art. 69a al. 1 OFPr. Recours rejeté.</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b) Déposé en temps utile (art. 95 LPA-VD), selon les formes prescrites par la loi (art. 79 al. 1 et 99 LPA-VD), le recours est formellement recevable, de sorte qu'il y a lieu d'entrer en matière sur le fond.</w:t>
      </w:r>
    </w:p>
    <w:p>
      <w:r>
        <w:rPr>
          <w:b/>
        </w:rPr>
        <w:t>E. 2</w:t>
      </w:r>
    </w:p>
    <w:p>
      <w:r>
        <w:t>Par formation équivalente ou comparable en Suisse au sens de la loi, il faut entendre la formation en Suisse qui permet d’obtenir un titre de même niveau dans le domaine de formation visé ou dans un domaine connexe.</w:t>
      </w:r>
    </w:p>
    <w:p>
      <w:r>
        <w:rPr>
          <w:b/>
        </w:rPr>
        <w:t>E. 3</w:t>
      </w:r>
    </w:p>
    <w:p>
      <w:r>
        <w:t>Les considérants qui précèdent conduisent au rejet du recours et à la confirmation de la décision attaquée. En principe, les frais de la cause devraient être mis à la charge de la recourante, qui succombe (art. 49 al. 1 LPA-VD). Compte tenu toutefois des circonstances, il est renoncé par équité à percevoir un émolument de justice (art. 50 LPA-VD).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