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BO.2014.0033 vom 11. Mai 2015</w:t>
      </w:r>
    </w:p>
    <w:p>
      <w:r>
        <w:t>VD Tribunal cantonal, 2015-05-11, FR</w:t>
      </w:r>
    </w:p>
    <w:p>
      <w:r>
        <w:rPr>
          <w:b/>
        </w:rPr>
        <w:t xml:space="preserve">Quelle: </w:t>
      </w:r>
      <w:r>
        <w:t>https://mcp.opencaselaw.ch/entscheid/vd_omni_BO.2014.0033</w:t>
      </w:r>
    </w:p>
    <w:p>
      <w:r>
        <w:t>FR: VD_OMNI BO.2014.0033 du 11 mai 2015</w:t>
      </w:r>
    </w:p>
    <w:p>
      <w:r>
        <w:t>IT: VD_OMNI BO.2014.0033 del 11 maggio 2015</w:t>
      </w:r>
    </w:p>
    <w:p>
      <w:pPr>
        <w:pStyle w:val="Heading2"/>
      </w:pPr>
      <w:r>
        <w:t>Regeste</w:t>
      </w:r>
    </w:p>
    <w:p>
      <w:r>
        <w:t>X.________/Office cantonal des bourses d'études et d'apprentissage | Recourant, titulaire d'un CFC de concepteur multimédia (formation pour laquelle une bourse d'études a été octroyée), qui a entrepris une nouvelle formation conduisant à l'obtention d'un titre de technicien ES en informatique. Même si la nouvelle formation mène à un titre plus élevé que le CFC déjà obtenu, elle ne constitue pas un prolongement de la formation choisie initialement, au sens de l'art. 6 al. 1 ch. 5 LAEF, qui s'interprète de manière restrictive. La seconde formation entamée par le recourant apparaît plutôt comme une formation complémentaire, lui permettant d'élargir le champ de ses connaissances et de ses compétences. Elle n'ouvre pas le droit à une nouvelle bourse d'études. Rejet du recours.</w:t>
      </w:r>
    </w:p>
    <w:p>
      <w:pPr>
        <w:pStyle w:val="Heading2"/>
      </w:pPr>
      <w:r>
        <w:t>Erwägungen</w:t>
      </w:r>
    </w:p>
    <w:p>
      <w:r>
        <w:rPr>
          <w:b/>
        </w:rPr>
        <w:t>E. 1</w:t>
      </w:r>
    </w:p>
    <w:p>
      <w:r>
        <w:t>Interjeté dans le délai légal de trente jours suivant la notification de la décision entreprise (art. 77 de la loi cantonale vaudoise du 28 octobre 2008 sur la procédure administrative [ LPA-VD; RSV 173.36 ] ), le recours a été déposé en temps utile. Il satisfait en outre aux conditions formelles de recevabilité (art. 79 LPA-VD), de sorte qu'il y a lieu d'entrer en matière sur le fond.</w:t>
      </w:r>
    </w:p>
    <w:p>
      <w:r>
        <w:rPr>
          <w:b/>
        </w:rPr>
        <w:t>E. 2</w:t>
      </w:r>
    </w:p>
    <w:p>
      <w:r>
        <w:t>de la Constitution du canton de Vaud du 14 avril 2003 [Cst.-VD; RSV 101.01], art. 33 ss de la loi vaudoise du 28 octobre 2008 sur la procédure administrative [LPA-VD; RSV 173.36]). Ce droit implique notamment pour l'autorité l'obligation de motiver sa décision (art. 42 let. c LPA-VD),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138 IV 81 consid. 2.2, 134 I 83 consid. 4.1, 129 IV 179 consid. 2.2). En l'occurrence, après avoir rappelé les dispositions légales applicables à l'octroi de bourses en cas d'études suivant l'obtention d'un premier titre, l'autorité intimée a expliqué les raisons pour lesquelles elle estimait qu'elles ne s'appliquaient pas dans le cas d'espèce. Ces raisons sont exposées de manière sommaire. Le recourant a cependant bien compris cette motivation et a pu attaquer la décision litigieuse en connaissance de cause. Dans ces circonstances, la motivation de la décision contestée apparaît suffisante, même si elle ne prend pas position sur tous les arguments soulevés par le recourant dans sa réclamation. Par ailleurs, le double échange d'écritures a permis au recourant de prendre connaissance de manière détaillée de la position de l'autorité intimée.</w:t>
      </w:r>
    </w:p>
    <w:p>
      <w:r>
        <w:rPr>
          <w:b/>
        </w:rPr>
        <w:t>E. 3</w:t>
      </w:r>
    </w:p>
    <w:p>
      <w:r>
        <w:t>En dehors des cas où une disposition légale prévoit expressément le contrôle de l'opportunité d'une décision, la CDAP n'exerce qu'un contrôle en légalité, c'est-à-dire examine si la décision entreprise est contraire à une disposition légale ou réglementaire expresse, ou relève d'un excès ou d'un abus du pouvoir d'appréciation (art. 98 LPA-VD). La LAEF ne prévoyant aucune disposition étendant le pouvoir de contrôle de l'autorité de recours à l'inopportunité, ce grief ne saurait donc être examiné par le tribunal de céans, qui se limitera à vérifier s’il y a abus ou excès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4</w:t>
      </w:r>
    </w:p>
    <w:p>
      <w:r>
        <w:t>En l'espèce, les différents arguments du recourant doivent être examinés au regard du ch. 5 de l'art. 6 al. 1 LAEF. a) A teneur de l'art. 6 al. 1 ch. 5, 1 ère phrase, LAEF, le soutien financier de l'Etat est octroyé, lorsqu'il est nécessaire, aux personnes qui, après l'obtention d'un premier titre professionnel ou universitaire, continuent ou reprennent leurs études dans un établissement public ou reconnu permettant d'accéder à un titre plus élevé dans la formation choisie initialement. La finalité de cette disposition, dont la teneur résulte de la modification législative du 22 mai 1979, est de permettre aux personnes qui suivent un curriculum de formation les conduisant à acquérir successivement plusieurs titres professionnels d'obtenir le titre le plus élevé possible dans la formation choisie initialement; est donné à titre d'exemple le cas d'un mécanicien-électricien qui poursuit sa formation à l'Ecole technique supérieure, et aboutit finalement à l'Ecole polytechnique fédérale (cf. BGC printemps 1979, p. 419 ad art. 6 ch. 5). Il convient ainsi que la formation envisagée puisse être considérée comme une formation complémentaire s'inscrivant dans le prolongement de celle choisie initialement, soit qu'elle constitue sa "suite logique", à un niveau supérieur (cf. arrêt BO.2001.0032 du 22 mars 2002 consid. 2). L'application de cette disposition n'a dès lors été admise que de façon restrictive: il a notamment été jugé, par exemple, qu'une formation menant à l'obtention d'un "Bachelor of Sciences HES-SO, filière sage-femme et homme sage-femme" ne s'inscrivait pas dans le prolongement de la formation initialement choisie d'infirmière (diplômée niveau II), les activités de sage-femme et d'infirmière étant différentes tant sur le plan des pratiques professionnelles qu'au niveau des responsabilités (arrêt BO.2008.0125 du 19 mars 2009 consid. 2; cf. ég. consid. 1a, qui présente un résumé de la casuistique). Il en va de même d’une titulaire d’un brevet d’enseignement semi-généraliste qui désirait poursuivre des études conduisant à l’obtention d’un “Bachelor en sciences forensiques" (BO.2009.0018 du 30 septembre 2010 consid. 2) ou d’un architecte ETS qui aspirait à suivre des cours d’archéologie et d’histoire de l’art en Faculté des lettres (BO.1997.0188 du 31 juillet 1998, consid. 2). De même, le tribunal de céans a considéré qu’une maîtrise universitaire en géographie ne constituait pas le prolongement des études sanctionnées par un baccalauréat académique en sciences (BO.2013.0018 du 14 octobre 2013) et que des études dans le domaine des droits de l'enfant ne s'inscrivaient pas dans le prolongement d'études universitaires de premier cycle en géosciences et environnement, mention géographie humaine ( BO.2014.0012 du 14 novembre 2014). b) En l'espèce, le recourant, titulaire d'un CFC de concepteur multimédia, a entrepris une nouvelle formation auprès du CPNV, conduisant à l'obtention d'un titre de technicien ES en informatique. Il n'est pas contesté que ce dernier titre est plus élevé que le CFC déjà obtenu; est en revanche disputée la question de savoir si la formation en cause relève du prolongement de celle choisie initialement, au sens de l'art. 6 al. 1 ch. 5, 1 ère phrase, LAEF. Il ressort des arguments des parties que les deux formations sont proches l'une de l'autre, l'une mettant l'accent plutôt sur les aspects techniques de la conception de sites web, l'autre plutôt sur les aspects artistiques. Inévitablement, la formation artistique comprend des aspects techniques et la formation technique comporte des volets artistiques. Il n'en demeure pas moins qu'il s'agit de deux voies de formation distinctes. Même si les deux formations se complètent – ce qui explique l'intérêt du recourant pour la formation de technicien, après celle plus artistique de concepteur, et qui explique aussi pourquoi les détenteurs d'un CFC de concepteur sont bienvenus dans le cadre de la formation de technicien –, la formation technique ne constitue pas une formation permettant d'obtenir un titre plus élevé dans la formation choisie initialement. Dans le cas présent, la seconde formation entamée par le recourant apparaît plutôt comme une formation complémentaire, lui permettant d'élargir le champ de ses connaissances et de ses compétences, lui offrant ainsi plus d'atouts sur le marché du travail. Si cette démarche s'avère être un choix judicieux, elle ne rentre pas pour autant dans le champ des formations devant être prises en charge par l'Etat. Comme il ressort de la jurisprudence exposée ci-dessus, l'art. 6 al. 1 ch. 5, 1 ère phrase, LAEF est appliqué de façon restrictive. A la lumière de cette jurisprudence, l'interprétation de l'autorité intimée est pleinement soutenable. Il convient aussi de rappeler que le tribunal de céans ne statue pas en opportunité, mais uniquement en légalité. En l'espèce, l'autorité intimée n'a violé aucune disposition légale ou réglementaire et n'a pas non plus fait preuve d'un excès ou d'un abus du pouvoir d'appréciation en retenant que les conditions de l'art. 6 al. 1 ch. 5, 1 ère phrase, LAEF n'étaient pas remplies dans le cas d'espèce. c) En définitive, le choix du recourant de suivre une nouvelle formation de technicien en informatique ne lui ouvre pas le droit à une aide sous forme de bourse d'études, mais uniquement sous forme de prêt, qui lui a été accordé en novembre 2014.</w:t>
      </w:r>
    </w:p>
    <w:p>
      <w:r>
        <w:rPr>
          <w:b/>
        </w:rPr>
        <w:t>E. 5</w:t>
      </w:r>
    </w:p>
    <w:p>
      <w:r>
        <w:t>Compte tenu de ce qui précède, le recours doit être rejeté et la décision de l'autorité intimée confirmée. Compte tenu de l'issue du pourvoi, les frais du présent arrêt devraient être mis à la charge du recourant débouté. Vu la situation financière de ce dernier, le présent arrêt sera cependant rendu sans frais (art. 49, 50, 55, 56, 91 et 99 LPA-VD). Il n'est pas alloué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