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BO.2013.0025 vom 3. Dezember 2013</w:t>
      </w:r>
    </w:p>
    <w:p>
      <w:r>
        <w:t>VD Tribunal cantonal, 2013-12-03, FR</w:t>
      </w:r>
    </w:p>
    <w:p>
      <w:r>
        <w:rPr>
          <w:b/>
        </w:rPr>
        <w:t xml:space="preserve">Quelle: </w:t>
      </w:r>
      <w:r>
        <w:t>https://mcp.opencaselaw.ch/entscheid/vd_omni_BO.2013.0025</w:t>
      </w:r>
    </w:p>
    <w:p>
      <w:r>
        <w:t>FR: VD_OMNI BO.2013.0025 du 3 décembre 2013</w:t>
      </w:r>
    </w:p>
    <w:p>
      <w:r>
        <w:t>IT: VD_OMNI BO.2013.0025 del 3 dicembre 2013</w:t>
      </w:r>
    </w:p>
    <w:p>
      <w:pPr>
        <w:pStyle w:val="Heading2"/>
      </w:pPr>
      <w:r>
        <w:t>Regeste</w:t>
      </w:r>
    </w:p>
    <w:p>
      <w:r>
        <w:t>X.________/Office cantonal des bourses d'études et d'apprentissage | La formation pour laquelle la recourante sollicite l'aide de l'Etat étant la troisième qu'elle entreprend, une bourse ne peut plus lui être accordée. Les motifs qui ont conduit à l'abandon des deux formations précédentes ne peuvent être pris en considération, de même que la proposition formulée par la recourante de rembourser une partie de l'aide déjà perçue. Concernant le prêt qui lui a été accordé, il n'existe pas en l'espèce de circonstances particulières qui imposeraient de le convertir de façon anticipée en allocation à fonds perdu. Cette question devra être examinée à l'échéance du remboursement.</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Si le changement intervient ultérieurement, le soutien de l'Etat se fera dès lors sous forme de prêt, à moins que l'intéressé ne s'engage à rembourser les allocations reçues pour les études initiales, cela dès la deuxième année où il a bénéficié du soutien de l'Etat.</w:t>
      </w:r>
    </w:p>
    <w:p>
      <w:r>
        <w:rPr>
          <w:b/>
        </w:rPr>
        <w:t>E. 3</w:t>
      </w:r>
    </w:p>
    <w:p>
      <w:r>
        <w:t>Les considérants qui précèdent conduisent au rejet du recours et à la confirmation de la décision attaquée. Les frais seront mis à la charge de la recourante déboutée, qui n’a pas droit à des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