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BO.2012.0032 vom 11. April 2013</w:t>
      </w:r>
    </w:p>
    <w:p>
      <w:r>
        <w:t>VD Tribunal cantonal, 2013-04-11, FR</w:t>
      </w:r>
    </w:p>
    <w:p>
      <w:r>
        <w:rPr>
          <w:b/>
        </w:rPr>
        <w:t xml:space="preserve">Quelle: </w:t>
      </w:r>
      <w:r>
        <w:t>https://mcp.opencaselaw.ch/entscheid/vd_omni_BO.2012.0032</w:t>
      </w:r>
    </w:p>
    <w:p>
      <w:r>
        <w:t>FR: VD_OMNI BO.2012.0032 du 11 avril 2013</w:t>
      </w:r>
    </w:p>
    <w:p>
      <w:r>
        <w:t>IT: VD_OMNI BO.2012.0032 del 11 aprile 2013</w:t>
      </w:r>
    </w:p>
    <w:p>
      <w:pPr>
        <w:pStyle w:val="Heading2"/>
      </w:pPr>
      <w:r>
        <w:t>Regeste</w:t>
      </w:r>
    </w:p>
    <w:p>
      <w:r>
        <w:t>X.________/Office cantonal des bourses d'études et d'apprentissage | La diminution de revenus des parents du recourant est largement inférieure à la limite de 20% prévue par l'art. 15a RLAEF, limite en-dessous de laquelle le changement de situation n'est pas considéré comme étant propre à rendre le montant de l'allocation insuffisant. Elle ne saurait ainsi conduire au réexamen - à la hausse - de la bourse octroyée en sa faveur.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rejet d'une demande de réexamen.</w:t>
      </w:r>
    </w:p>
    <w:p>
      <w:r>
        <w:rPr>
          <w:b/>
        </w:rPr>
        <w:t>E. 3</w:t>
      </w:r>
    </w:p>
    <w:p>
      <w:r>
        <w:t>a) La LPA-VD a codifié la jurisprudence en matière de réexamen à son art. 64, qui prévoit à son alinéa 2: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(arrêt TA bernois du 8 octobre 1992, JAB 1993, p. 244 consid. 2a; ég. arrêts PE.2011.0443 et PE.2011.0372 précités). L'hypothèse prévue sous lettre b, couramment appelée révision au sens étroit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Droit administratif, vol. II, 3 ème éd., Berne 2011, p. 398).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397; Koelz/Haener, op. cit., n° 434, application analogique de l'art. 66 al. 3 PA; cf. également, en matière de réexamen des décisions de taxation fiscale, ATF 111 Ib 209 consid. 1 et, en matière de révision des arrêts du TF, l'art. 137 let. b in fine aOJ et ATF 121 précité consid. 2). b) Selon l'art. 16 de la loi vaudoise du 11 septembre 1973 sur l'aide aux études et à la formation professionnelle (LAEF; RSV 416.11), pour l'évaluation de la capacité financière des parents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10 al. 1 du règlement du 21 février 1975 d'application de la LAEF (RLAEF; RSV 416.11.1), dans sa teneur entrée en vigueur le 1 er août 2006, précise que le revenu familial déterminant (capacité financière) est constitué du montant porté sous le code 650 de la décision de taxation définitive relative à la période fiscale de référence, à savoir celle qui précède l'année civile précédant la demande. Selon la jurisprudence, des motifs d'équité justifient toutefois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BO.2010.0037 du 7 février 2011,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L'art. 25 let. b LAEF prévoit par ailleurs qu'au cours de la période pour laquelle l'allocation a été octroyée, le bénéficiaire ou son représentant légal peut demander l'augmentation de l'allocation si un changement dans sa situation est propre à en rendre le montant insuffisant. L'art. 15a RLAEF précise que tel est le cas si le changement de situation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w:t>
      </w:r>
    </w:p>
    <w:p>
      <w:r>
        <w:rPr>
          <w:b/>
        </w:rPr>
        <w:t>E. 4</w:t>
      </w:r>
    </w:p>
    <w:p>
      <w:r>
        <w:t>En l'espèce, le recourant invoque à l'appui de sa demande de réexamen la diminution des revenus de ses parents consécutive à la suppression de la rente ordinaire pour enfant AVS/AI versée en sa faveur. Dans la décision de l'OCBEA du 27 avril 2012, les revenus déterminants des parents ont été arrêtés à un montant de 50'966 francs. Actuellement, si l'on tient compte du changement de situation invoqué, ceux-ci s'élèvent à un montant de 48'220 fr., soit 29'100 fr. de rentes AVS/AI, dont il faut déduire 5'300 fr. d'assurance-maladie pour reconstituer le revenu fiscal selon le code 650 de la taxation fiscale, et 24'420 fr. de prestations complémentaires AVS/AI. Ainsi, concrètement, la diminution de revenus dont se prévaut le recourant est de 2'746 fr. (50'966 – 48'220). Il s'agit là d'une différence de 5,38 %, qui est largement inférieure au 20% mentionné à l'art. 15a RLAEF, limite en-dessous de laquelle le changement de situation n'est pas considéré comme étant propre à rendre le montant de l'allocation insuffisant (arrêt BO.2007.0206 du 17 mars 2008 consid. 2). On ne se trouve par conséquent pas en présence d'une modification importante de situation. Cette diminution des revenus des parents du recourant ne saurait ainsi conduire au réexamen – à la hausse – de la décision d'octroi d'une bourse en sa faveur. C'est dès lors à juste titre que l'OCBEA a refusé d'enter en matière sur la demande de réexamen du recourant.</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