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BO.2012.0027 vom 29. Oktober 2012</w:t>
      </w:r>
    </w:p>
    <w:p>
      <w:r>
        <w:t>VD Tribunal cantonal, 2012-10-29, FR</w:t>
      </w:r>
    </w:p>
    <w:p>
      <w:r>
        <w:rPr>
          <w:b/>
        </w:rPr>
        <w:t xml:space="preserve">Quelle: </w:t>
      </w:r>
      <w:r>
        <w:t>https://mcp.opencaselaw.ch/entscheid/vd_omni_BO.2012.0027</w:t>
      </w:r>
    </w:p>
    <w:p>
      <w:r>
        <w:t>FR: VD_OMNI BO.2012.0027 du 29 octobre 2012</w:t>
      </w:r>
    </w:p>
    <w:p>
      <w:r>
        <w:t>IT: VD_OMNI BO.2012.0027 del 29 ottobre 2012</w:t>
      </w:r>
    </w:p>
    <w:p>
      <w:pPr>
        <w:pStyle w:val="Heading2"/>
      </w:pPr>
      <w:r>
        <w:t>Regeste</w:t>
      </w:r>
    </w:p>
    <w:p>
      <w:r>
        <w:t>X.________/Office cantonal des bourses d'études et d'apprentissage | Recours irrecevable car l'avance de frais a été versée tardivement. Rappel de la jurisprudence relative à la notification à l'issue du délai de garde par la poste.</w:t>
      </w:r>
    </w:p>
    <w:p>
      <w:pPr>
        <w:pStyle w:val="Heading2"/>
      </w:pPr>
      <w:r>
        <w:t>Erwägungen</w:t>
      </w:r>
    </w:p>
    <w:p>
      <w:r>
        <w:rPr>
          <w:b/>
        </w:rPr>
        <w:t>E. 1</w:t>
      </w:r>
    </w:p>
    <w:p>
      <w:r>
        <w:t>Aux termes de l’art. 47 de la loi du 28 octobre 2008 sur la procédure administrative (LPA-VD, RSV 173.36), le recourant est en principe tenu de fournir une avance de frais (al. 2); l’autorité impartit au recourant un délai pour cela, et l’avertit qu’à défaut de paiement dans le délai fixé, elle n’entrera pas en matière sur le recours (al. 3). L’avis du 14 septembre 2012 rappelle ces principes.</w:t>
      </w:r>
    </w:p>
    <w:p>
      <w:r>
        <w:rPr>
          <w:b/>
        </w:rPr>
        <w:t>E. 2</w:t>
      </w:r>
    </w:p>
    <w:p>
      <w:r>
        <w:t>a) Un envoi recommandé qui n'a pas pu être dis­tribué est réputé notifié le dernier jour du délai de garde de sept jours suivant la remise de l'avis d'arrivée dans la boîte aux lettres ou dans la case postale de son des­tinataire (ATF 134 V 49 consid.</w:t>
      </w:r>
    </w:p>
    <w:p>
      <w:r>
        <w:rPr>
          <w:b/>
        </w:rPr>
        <w:t>E. 4</w:t>
      </w:r>
    </w:p>
    <w:p>
      <w:r>
        <w:t>Il se justifie de statuer sans frais (art. 49 et 50 LPA-VD). L’allocation de dépens n’entre pas en ligne de compte (art.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