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BO.2011.0008 vom 28. September 2011</w:t>
      </w:r>
    </w:p>
    <w:p>
      <w:r>
        <w:t>VD Tribunal cantonal, 2011-09-28, FR</w:t>
      </w:r>
    </w:p>
    <w:p>
      <w:r>
        <w:rPr>
          <w:b/>
        </w:rPr>
        <w:t xml:space="preserve">Quelle: </w:t>
      </w:r>
      <w:r>
        <w:t>https://mcp.opencaselaw.ch/entscheid/vd_omni_BO.2011.0008</w:t>
      </w:r>
    </w:p>
    <w:p>
      <w:r>
        <w:t>FR: VD_OMNI BO.2011.0008 du 28 septembre 2011</w:t>
      </w:r>
    </w:p>
    <w:p>
      <w:r>
        <w:t>IT: VD_OMNI BO.2011.0008 del 28 settembre 2011</w:t>
      </w:r>
    </w:p>
    <w:p>
      <w:pPr>
        <w:pStyle w:val="Heading2"/>
      </w:pPr>
      <w:r>
        <w:t>Regeste</w:t>
      </w:r>
    </w:p>
    <w:p>
      <w:r>
        <w:t>X.________ c/Office cantonal des bourses d'études et d'apprentissage | Boursière dépendante mais ne faisant pas ménage commun avec ses parents. Cas similaire à celui de l'arrêt BO.2010.0001 du 3 août 2010. Comme elle bénéficie d'une pension pour frais de repas au sens du chiffre D3 du Barème 2009 pour l'attribution des bourses d'études et d'apprentissage, elle ne peut prétendre en sus à l'allocation de frais de repas de midi pris à l'extérieur, en application du chiffre D2 dudit barème.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Les frais mentionnés à la lettre a sont comptés dans le coût des études selon les tarifs des établissements de formation.</w:t>
      </w:r>
    </w:p>
    <w:p>
      <w:r>
        <w:rPr>
          <w:b/>
        </w:rPr>
        <w:t>E. 3</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de la recourante,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