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BO.2008.0091 vom 23. September 2009</w:t>
      </w:r>
    </w:p>
    <w:p>
      <w:r>
        <w:t>VD Tribunal cantonal, 2009-09-23, FR</w:t>
      </w:r>
    </w:p>
    <w:p>
      <w:r>
        <w:rPr>
          <w:b/>
        </w:rPr>
        <w:t xml:space="preserve">Quelle: </w:t>
      </w:r>
      <w:r>
        <w:t>https://mcp.opencaselaw.ch/entscheid/vd_omni_BO.2008.0091</w:t>
      </w:r>
    </w:p>
    <w:p>
      <w:r>
        <w:t>FR: VD_OMNI BO.2008.0091 du 23 septembre 2009</w:t>
      </w:r>
    </w:p>
    <w:p>
      <w:r>
        <w:t>IT: VD_OMNI BO.2008.0091 del 23 settembre 2009</w:t>
      </w:r>
    </w:p>
    <w:p>
      <w:pPr>
        <w:pStyle w:val="Heading2"/>
      </w:pPr>
      <w:r>
        <w:t>Regeste</w:t>
      </w:r>
    </w:p>
    <w:p>
      <w:r>
        <w:t>A.X.________ c/Office cantonal des bourses d'études et d'apprentissage | L'autorité intimée, en accordant une bourse réduite dès lors que la formation suivie permettait la poursuite d'une activité lucrative à un taux de 70% (solution esquissée dans l'arrêt BO.2007.0062), s'est montrée équitable et conforme à l'esprit de la loi. Rejet du recours.</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w:t>
      </w:r>
    </w:p>
    <w:p>
      <w:r>
        <w:rPr>
          <w:b/>
        </w:rPr>
        <w:t>E. 2</w:t>
      </w:r>
    </w:p>
    <w:p>
      <w:r>
        <w:t>L'Etat encourage financièrement l'apprentissage et la poursuite des études après le terme de l'obligation scolaire, aux conditions définies par l’art. 6 de la loi du 11 septembre 1973 sur l'aide aux études et à la formation professionnelle (LAE ; RSV 416.11), à teneur duquel : « Le soutien financier de l'Etat est octroyé, lorsqu'il est nécessaire : 1.           Aux étudiants et élèves fréquentant, dans le Canton de Vaud, les écoles publiques ou reconnues d'utilité publique qui préparent : a.           au baccalauréat, certificat de maturité, diplôme de culture générale et diplôme d'études commerciales ; b.           aux titres et professions universitaires ; c.           aux professions de l'enseignement ; d.           aux professions artistiques ; e.           aux professions sociales ; f.                        aux professions paramédicales et hospitalières ; g.           aux professions de l'agriculture. 1a.          Aux élèves du raccordement des types I et II et de l'Ecole de perfectionnement. 2.           Aux apprentis, élèves et étudiants fréquentant, dans le Canton de Vaud, les écoles relevant de la législation fédérale ou cantonale sur la formation professionnelle. (…) »</w:t>
      </w:r>
    </w:p>
    <w:p>
      <w:r>
        <w:rPr>
          <w:b/>
        </w:rPr>
        <w:t>E. 3</w:t>
      </w:r>
    </w:p>
    <w:p>
      <w:r>
        <w:t>a) En l’espèce, à l’exclusion des calculs relatifs au montant de l’aide ou au statut d’indépendance financière reconnu à la recourante, seule la prise en compte du fait que l’enseignement suivi l’est à temps partiel et, partant, laisse à la recourante le temps d’exercer une activité lucrative, est litigieux. L e Tribunal administratif (devenu le 1 er janvier 2008 la Cour de droit administratif et public du Tribunal cantonal) a déjà précisé à plusieurs reprises que le système instauré par la LAE a pour but de soutenir les élèves et étudiants fréquentant un enseignement à temps complet (arrêt BO.2001.0086 du 10 janvier 2002 et les réf. cit.).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donc confirmé l a pratique de l'office qui se base sur le Barème et Directives du Conseil d'Etat du</w:t>
      </w:r>
    </w:p>
    <w:p>
      <w:r>
        <w:rPr>
          <w:b/>
        </w:rPr>
        <w:t>E. 4</w:t>
      </w:r>
    </w:p>
    <w:p>
      <w:r>
        <w:t>Le recours doit ainsi être rejeté. Compte tenu de la situation personnelle de la recourante et des circonstances du cas, il se justifie de statuer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