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BO.2008.0019 vom 7. September 2009</w:t>
      </w:r>
    </w:p>
    <w:p>
      <w:r>
        <w:t>VD Tribunal cantonal, 2009-09-07, FR</w:t>
      </w:r>
    </w:p>
    <w:p>
      <w:r>
        <w:rPr>
          <w:b/>
        </w:rPr>
        <w:t xml:space="preserve">Quelle: </w:t>
      </w:r>
      <w:r>
        <w:t>https://mcp.opencaselaw.ch/entscheid/vd_omni_BO.2008.0019</w:t>
      </w:r>
    </w:p>
    <w:p>
      <w:r>
        <w:t>FR: VD_OMNI BO.2008.0019 du 7 septembre 2009</w:t>
      </w:r>
    </w:p>
    <w:p>
      <w:r>
        <w:t>IT: VD_OMNI BO.2008.0019 del 7 settembre 2009</w:t>
      </w:r>
    </w:p>
    <w:p>
      <w:pPr>
        <w:pStyle w:val="Heading2"/>
      </w:pPr>
      <w:r>
        <w:t>Regeste</w:t>
      </w:r>
    </w:p>
    <w:p>
      <w:r>
        <w:t>A.X.________ c/Office cantonal des bourses d'études et d'apprentissage | Recours rejeté contre le refus d'allouer une bourse d'études; le conflit existant entre la recourante et son père qui ne contribue plus à son entretien depuis des années ne permet pas à l'Etat d'assumer le financement des études pour ce motif; la recourante a toutefois la possibilité de solliciter un prêt dès lors que son père refuse de lui accorder le soutien financier qu'elle est en droit d'attendre de sa part.</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vaudoise du 11 septembre 1973 sur l'aide aux études et à la formation professionnelle (ci-après : LAE ; RSV 416.11) a droit au soutien financier de l'Etat.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Ce soutien a ainsi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conformément à l’art. 14 al. 1 LAE. b) L’art. 14 al. 1 LAE repose sur le postulat que « les père et mère doivent pourvoir à l’entretien de l’enfant et assumer, par conséquent, les frais de son éducation, de sa formation et des mesures prises pour le protéger » (art. 276 al. 1 CC). Il est complété par l’art. 277 CC à teneur duquel : « 1. L’obligation d’entretien des père et mère dure jusqu’à la majorité de l’enfant.</w:t>
      </w:r>
    </w:p>
    <w:p>
      <w:r>
        <w:rPr>
          <w:b/>
        </w:rPr>
        <w:t>E. 2</w:t>
      </w:r>
    </w:p>
    <w:p>
      <w:r>
        <w:t>a)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pour l’attribution des bourses d’études et d’apprentissage adopté par le Conseil d’Etat le 30 mai 2007.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du Tribunal administratif BO.2005.0010 du 19 mai 2005 ; voir aussi Luc Recordon, Tâches de l’Etat et des communes, L’enseignement et la formation, in La Constitution vaudoise du 14 avril 2003, édité par Pierre Moor, p. 152-153). b)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En l'espèce, il ressort des renseignements fiscaux transmis par l’administration cantonale des impôts à l’office le 31 janvier 2008, que le revenu net du père de la recourante figurant au chiffre 650 a été fixé à 74'526 fr. S’agissant de la mère de la recourante, selon les renseignements fiscaux transmis le 11 avril 2007, le revenu net figurant au ch. 650 a été fixé à 44’290 fr. pour la période fiscale 2005. Si les parents déclarent leurs impôts de façon séparée, l’office prend les deux déclarations en considération, en tenant compte des charges respectives (art. 10c RAE). En l’espèce, les parents de la recourante étant divorcés, le revenu déterminant s’établit en additionnant leurs revenus nets figurant au chiffre 650 de la taxation 2005, soit un montant de 118'816 fr. correspondant à 9'901 fr. par mois. Le revenu du père de la recourante doit ainsi être pris en considération dans sa globalité. Il est vrai que la jurisprudence a admis, lorsque les parents sont divorcés, que seul le revenu de celui à qui la garde de l'enfant a été attribuée est pris en considération pour déterminer le droit à une bourse, revenu auquel s’ajoute alors la contribution d'entretien versée par l'autre parent. Ce système a toutefois été jugé compatible avec la loi dans la mesure où l'on peut présumer que la contribution d'entretien fixée par le jugement de divorce correspond à ce qui peut raisonnablement être exigé du parent qui ne vit plus avec l'enfant, de sorte que l'on peut renoncer à prendre son propre revenu en considération, comme l'exigerait la lettre de l'art. 14 al. 1 LAE, mais il ne se justifiait plus lorsque l’enfant était majeur (arrêts BO.2007.0165 du 5 mars 2008 consid. 2b, BO.2004.0139 du 17 mars 2005 consid. 3a, BO.1998.0112 du 21 octobre 1999 consid. 3). De toute manière, en l’espèce, la convention de divorce ne prévoit pas une pension au-delà de la majorité, mais réserve seulement l’art. 277 al. 2 CC. c) On déduit ensuite du revenu les charges normales; elles s'élèvent à 2'500 fr. pour un parent seul, auxquels s'ajoutent 800 fr. par enfant majeur à charge et 700 fr. par enfant mineur à charge (art. 8 al. 2 RAE). En l'espèce, les charges s’élèvent à 6'600 fr. (2x 2'500 fr. pour les parents et 2x 800 fr. pour la recourante et sa sœur). Par rapport à ce chiffre, l’excédent de revenu dont dispose la famille est de 3'301 fr. (9'901 fr. – 6'600 fr.), qu’il convient de répartir à raison d’une part par parent et de deux parts pour chaque enfant en formation (art. 11 RAE), ce qui représente six parts (une pour chacun des parents, deux pour la recourante et deux pour sa sœur). Cet excédent permet ainsi d’affecter aux frais d’études de la recourante la somme annuelle de 13'204 fr. (3'301 x 12 : 6 x 2). S'agissant des frais d'études annuels, l'autorité intimée les a arrêtés à 9’410 fr., soit 2’000 fr. pour la formation, 5’780 fr. pour les frais de logement/pension/repas, et 1'630 fr. pour les déplacements. La recourante a relevé qu’elle effectuait depuis le 18 février 2008 deux semestres d’échange avec la HEP-Wallis à Brig et qu’elle restait sur place la semaine. Elle s’acquittait de frais de logement, de déplacement et de nourriture. L’autorité intimée soutient que ces frais ont été pris en compte dans le calcul. S’agissant des frais de logement, le tribunal constate en effet qu’ils ont été comptabilisés (cf. « Calculation » dans le dossier de l’autorité intimée) à concurrence de 1'800 fr. (loyer : 600 fr. par mois selon contrat de bail, mais pour deux colocataires, donc 300 fr. par mois), ce qui est correct, vu que la recourante n’effectue au cours de l’année 2007/2008 qu’un semestre à Brig. Concernant les frais de déplacement, le coût de l’abonnement général s’élève à 830 fr. par an selon la quittance d’achat produite par la recourante, mais l’autorité intimée a retenu un montant de 1'630 fr. ; le tribunal retiendra ainsi un montant de 830 fr. Enfin, s’agissant des frais de repas de midi, la participation s’élève à 220 fr. par mois (cf. barème pour l’attribution des bourses d’études et d’apprentissage adopté par le Conseil d’Etat le 30 mai 2007), soit en l’espèce 2'200 fr. (dix mois selon l’art. 12 al. 3 RAE). L’autorité intimée a retenu la moitié de ce montant, soit 1'100 fr., vraisemblablement parce que la recourante peut rentrer à son logement de Brig à midi lors du second semestre. Ce montant n’apparaît ainsi pas critiquable. Enfin, les frais de pension se chiffrent au maximum à 480 fr. par mois de formation selon le barème. L’autorité intimée a pris en compte à ce titre une somme de 2'880 fr., soit pour le semestre à Brig, ce qui doit être confirmé. Les frais d’études annuels se chiffrent ainsi à un montant total de 8'610 fr., la recourante n’ayant au surplus pas contesté la somme de 2'000 fr. retenue à titre de frais de formation. Il apparaît ainsi que la part de l’excédent du revenu familial afférente à la recourante (13'204 fr.) est nettement supérieure au coût des études (8'610 fr.) et ne permet pas l’octroi d’une bourse ; mais la recourante a la possibilité de solliciter un prêt en application de l’art. 15 LAE dès lors que son père refuse de lui accorder le soutien financier qu’elle est en droit d’attendre de lui. Enfin, si la cousine de la recourante devait être prise en compte dans le calcul des parts, il serait nécessaire de prendre également en compte le montant des pensions versées à la mère de la recourante pour cette prise en charge, ce qui ne modifierait pas de manière déterminante les résultats du calcul.</w:t>
      </w:r>
    </w:p>
    <w:p>
      <w:r>
        <w:rPr>
          <w:b/>
        </w:rPr>
        <w:t>E. 3</w:t>
      </w:r>
    </w:p>
    <w:p>
      <w:r>
        <w:t>Il résulte des considérants qui précèdent que le recours doit être rejeté et la décision attaquée maintenue. Au vu de ce résultat, il convient de mettre les frais de justice à la charge de la recourante (art. 49 al. 1 LPA-VD). Au surplus, il ne sera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