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BO.2008.0014 vom 15. Mai 2008</w:t>
      </w:r>
    </w:p>
    <w:p>
      <w:r>
        <w:t>VD Tribunal cantonal, 2008-05-15, FR</w:t>
      </w:r>
    </w:p>
    <w:p>
      <w:r>
        <w:rPr>
          <w:b/>
        </w:rPr>
        <w:t xml:space="preserve">Quelle: </w:t>
      </w:r>
      <w:r>
        <w:t>https://mcp.opencaselaw.ch/entscheid/vd_omni_BO.2008.0014</w:t>
      </w:r>
    </w:p>
    <w:p>
      <w:r>
        <w:t>FR: VD_OMNI BO.2008.0014 du 15 mai 2008</w:t>
      </w:r>
    </w:p>
    <w:p>
      <w:r>
        <w:t>IT: VD_OMNI BO.2008.0014 del 15 maggio 2008</w:t>
      </w:r>
    </w:p>
    <w:p>
      <w:pPr>
        <w:pStyle w:val="Heading2"/>
      </w:pPr>
      <w:r>
        <w:t>Regeste</w:t>
      </w:r>
    </w:p>
    <w:p>
      <w:r>
        <w:t>X. /Office cantonal des bourses d'études et d'apprentissage | Le recourant critique le montant de la bourse allouée en faisant valoir que ses parents doivent déjà aider financièrement sa soeur qui a interrompu son apprentissage pour cause de maternité. Les charges sont calculées selon un barème préétabli qui tient compte de la composition de la famille. Dans la mesure où la soeur du recourant n'est momentanément pas en formation, il n'y a plus lieu de tenir compte d'une part des charges pour elle. En effet, il n'appartient pas à l'office de subsidier indirectement des frais non liés à l'accomplissement d'études ou d'une formation.</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(ci-après : LAEF),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En l'occurrence, le recourant ne peut être considéré comme financièrement indépendant au sens de la loi, faute d’avoir travaillé pendant dix-huit mois au moins, ce qu’il ne conteste d’ailleurs pas. La situation financière de ses parents doit donc être prise en considération.</w:t>
      </w:r>
    </w:p>
    <w:p>
      <w:r>
        <w:rPr>
          <w:b/>
        </w:rPr>
        <w:t>E. 3</w:t>
      </w:r>
    </w:p>
    <w:p>
      <w:r>
        <w:t>Selon l'art. 16 LAEF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Aux termes de l'art. 18 LAEF,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LAEF le 10 juillet 1996 (ci-après : RLAEF), les charges normales sont fixées par l'art. 8 al. 2 RLAEF. Elles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Ainsi, les charges retenues pour l'allocation d'une bourse sont préétablies et ne peuvent être introduites ou modifiées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LAEF).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du Conseil d’Etat. Ils sont comptés pour onze mois pour les apprentissage et dix mois pour les gymnases, écoles assimilées et autres écoles (art. 12 RLAEF). Le soutien de l'Etat est accordé quand les charges, augmentées du coût des études du requérant, excèdent le revenu (art. 20 LAEF).</w:t>
      </w:r>
    </w:p>
    <w:p>
      <w:r>
        <w:rPr>
          <w:b/>
        </w:rPr>
        <w:t>E. 4</w:t>
      </w:r>
    </w:p>
    <w:p>
      <w:r>
        <w:t>En l'espèce, l'office a fixé les frais annuels d'apprentissage du recourant à 4'240 francs. Ce montant, non contesté par le recourant, a été fixé conformément aux art. 19 LAEF et 12 RLAEF, ainsi qu'au barème. Selon les renseignements fournis par l'autorité fiscale, le revenu net déterminant des parents du recourant a été arrêté à 46'994 francs. A ce montant, il convient d'ajouter la part du salaire d'apprenti du recourant dépassant la franchise mensuelle de 500 fr., soit 4'440 francs. Le revenu familial global et ainsi de 51'434 fr. par an, soit de 4'286 fr. par mois. De ce revenu, on déduit les charges normales, telles que déterminées par l'art. 8 al. 2 RLAEF, soit 3'100 fr. pour les parents et 800 fr. pour le recourant. C'est à juste titre que l'office n'a pas pris en considération la part calculée jusqu'ici pour la soeur de celui-ci. En effet, seules sont prises en compte les charges des enfants en formation. Or la soeur du recourant a interrompu son apprentissage. Il n'appartient pas à l'office de subsidier indirectement des frais non liés à l'accomplissement d'études ou d'un apprentissage, même si la soeur du recourant, au demeurant majeure, se trouve dépourvue de ressources pour des motifs tout à fait honorables. Le total des charges familiales, au sens de la LAEF, est ainsi de 3'900 francs. Après déduction des charges du revenu familial déterminant, il reste un excédant de revenu de 386 fr. (4'286 fr. - 3'900 fr.) qu'il convient de répartir à raison de deux parts pour les parents du recourant et de deux parts pour celui-ci. Le recourant a donc droit à 193 fr. par mois, soit 2'316 fr. par an. C'est ce montant que les parents du recourant peuvent consacrer aux frais annuels d'apprentissage de leur fils. Ces frais étant supérieurs, le recourant a droit à une bourse correspondant à la différence, soit 1'924 fr., montant arrondi par l'office à la dizaine inférieure, soit 1'920 francs.</w:t>
      </w:r>
    </w:p>
    <w:p>
      <w:r>
        <w:rPr>
          <w:b/>
        </w:rPr>
        <w:t>E. 5</w:t>
      </w:r>
    </w:p>
    <w:p>
      <w:r>
        <w:t>Il résulte des calculs et explications fournis ci-dessus que la décision de l'office du 1 er février 2008 était justifiée et doit être maintenue. Le recours doit en conséquence être rejeté.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