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BO.2007.0220 vom 6. Februar 2008</w:t>
      </w:r>
    </w:p>
    <w:p>
      <w:r>
        <w:t>VD Tribunal cantonal, 2008-02-06, FR</w:t>
      </w:r>
    </w:p>
    <w:p>
      <w:r>
        <w:rPr>
          <w:b/>
        </w:rPr>
        <w:t xml:space="preserve">Quelle: </w:t>
      </w:r>
      <w:r>
        <w:t>https://mcp.opencaselaw.ch/entscheid/vd_omni_BO.2007.0220</w:t>
      </w:r>
    </w:p>
    <w:p>
      <w:r>
        <w:t>FR: VD_OMNI BO.2007.0220 du 6 février 2008</w:t>
      </w:r>
    </w:p>
    <w:p>
      <w:r>
        <w:t>IT: VD_OMNI BO.2007.0220 del 6 febbraio 2008</w:t>
      </w:r>
    </w:p>
    <w:p>
      <w:pPr>
        <w:pStyle w:val="Heading2"/>
      </w:pPr>
      <w:r>
        <w:t>Regeste</w:t>
      </w:r>
    </w:p>
    <w:p>
      <w:r>
        <w:t>X. /Office cantonal des bourses d'études et d'apprentissage | La capacité financière de la famille de la requérante permet de faire face aux frais d'études de celle-ci; c'est à juste titre que l'autorité intimée n'a pas donné suite à la demande. Au surplus, il appartient à la requérante, si elle estime insuffisante la contribution d'entretien due par son père divorcé d'en requérir l'augmentation.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vaudoise du 11 septembre 1973 sur l'aide aux études et à la formation professionnelle (LAE ;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est certes majeure ; elle n’a toutefois pas exercé d’activité lucrative dans les dix-huit mois précédant sa demande. Dans ces circonstances, la nécessité et la mesure du soutien à lui accorder dépendent des moyens financiers dont sa mère, son père et elle-même disposent pour assumer ses frais d'études, de formation et d'entretien, ce conformément à l'art. 14 al. 1 LAE. On rappelle que cette disposition repose sur le postulat que « Les père et mère doivent pourvoir à l’entretien de l’enfant et assumer, par conséquent, les frais de son éducation, de sa formation et des mesures prises pour le protéger » (art. 276 al. 1 CC). Elle est complétée par l’art. 277 CC à teneur duquel : « 1. L’obligation d’entretien des père et mère dure jusqu’à la majorité de l’enfant.</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 En fait, depuis la modification du règlement d'application de la LAE (RAE ; RSV 416.11.1)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L’autorité intimée estime que la capacité financière de la famille permettrait de faire face aux frais de formation de la recourante, ce que celle-ci conteste. aa) Le revenu familial déterminant (capacité financière) est constitué, en règle générale, du chiffre 650 (moyenne des revenus nets des deux années précédentes) de la dernière déclaration d'impôt admise par l’office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Le recours sera par conséquent rejeté et la décision attaquée maintenue, ce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