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BO.2007.0199 vom 5. Februar 2008</w:t>
      </w:r>
    </w:p>
    <w:p>
      <w:r>
        <w:t>VD Tribunal cantonal, 2008-02-05, FR</w:t>
      </w:r>
    </w:p>
    <w:p>
      <w:r>
        <w:rPr>
          <w:b/>
        </w:rPr>
        <w:t xml:space="preserve">Quelle: </w:t>
      </w:r>
      <w:r>
        <w:t>https://mcp.opencaselaw.ch/entscheid/vd_omni_BO.2007.0199</w:t>
      </w:r>
    </w:p>
    <w:p>
      <w:r>
        <w:t>FR: VD_OMNI BO.2007.0199 du 5 février 2008</w:t>
      </w:r>
    </w:p>
    <w:p>
      <w:r>
        <w:t>IT: VD_OMNI BO.2007.0199 del 5 febbraio 2008</w:t>
      </w:r>
    </w:p>
    <w:p>
      <w:pPr>
        <w:pStyle w:val="Heading2"/>
      </w:pPr>
      <w:r>
        <w:t>Regeste</w:t>
      </w:r>
    </w:p>
    <w:p>
      <w:r>
        <w:t>A.X. /Office cantonal des bourses d'études et d'apprentissage | La capacité financière de la famille de la requérante permet de faire face aux frais d'études de celle-ci; c'est à juste titre que l'autorité intimée n'a pas donné suite à la demande. Au surplus, il appartient à la requérante, si elle estime insuffisante la contribution d'entretien due par sa mère divorcée d'en requérir l'augmentation.</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la loi vaudoise du 11 septembre 1973 sur l'aide aux études et à la formation professionnelle (LAE ;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En l'espèce, B.X.________ est mineure. Dans ces circonstances, la nécessité et la mesure du soutien à lui accorder dépendent des moyens financiers dont sa mère, son père et elle-même disposent pour assumer ses frais d'études, de formation et d'entretien, ce conformément à l'art. 14 al. 1 LAE. On rappelle que cette disposition repose sur le postulat que « Les père et mère doivent pourvoir à l’entretien de l’enfant et assumer, par conséquent, les frais de son éducation, de sa formation et des mesures prises pour le protéger » (art. 276 al. 1 CC). Elle est complétée par l’art. 277 CC à teneur duquel : « 1. L’obligation d’entretien des père et mère dure jusqu’à la majorité de l’enfant.</w:t>
      </w:r>
    </w:p>
    <w:p>
      <w:r>
        <w:rPr>
          <w:b/>
        </w:rPr>
        <w:t>E. 2</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 En fait, depuis la modification du règlement d'application de la LAE (RAE ; RSV 416.11.1)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b) L’autorité intimée estime que la capacité financière de la famille permettrait de faire face aux frais de formation de B.X.________, ce que le recourant conteste. aa) Le revenu familial déterminant (capacité financière) est constitué, en règle générale, du chiffre 650 (moyenne des revenus nets des deux années précédentes) de la dernière déclaration d'impôt admise par l’office d'impôt (art. 10 al. 1 RAE). Cette référence au revenu fiscal résultant de la dernière taxation offre à l'administration l'avantage de la simplicité : les commissions d'impôt renseignent directement l'office sur la taxation fiscale et les éléments constitutifs de la fortune nette (art. 10 al.</w:t>
      </w:r>
    </w:p>
    <w:p>
      <w:r>
        <w:rPr>
          <w:b/>
        </w:rPr>
        <w:t>E. 3</w:t>
      </w:r>
    </w:p>
    <w:p>
      <w:r>
        <w:t>Il appert dans ces conditions que l'excédent de revenu dont dispose le ménage est de 1’624 francs par mois (7’324 - 5’700). Réparti en quatre parts (dont deux pour B.X.________, vu l’art. 11 RAE), cet excédent permet d'affecter aux frais d'apprentissage de cette dernière la somme annuelle de 9’744 francs ({[1’624 : 4] x 2} x 12 mois). Cette part de l'excédent du revenu familial afférente à B.X.________ couvre le coût annuel de l’apprentissage (4’240 francs), lequel comprend les frais de déplacements entre Ste-Croix et Yverdon. C’est donc à juste titre qu’aucune aide n’a été allouée dans le cas d’espèce (art. 20 LAE a contrario et 11a RAE) durant l’année académique 2007-2008.</w:t>
      </w:r>
    </w:p>
    <w:p>
      <w:r>
        <w:rPr>
          <w:b/>
        </w:rPr>
        <w:t>E. 4</w:t>
      </w:r>
    </w:p>
    <w:p>
      <w:r>
        <w:t>Le recours sera par conséquent rejeté et la décision attaquée maintenue. A.X.________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