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BO.2007.0171 vom 5. Februar 2008</w:t>
      </w:r>
    </w:p>
    <w:p>
      <w:r>
        <w:t>VD Tribunal cantonal, 2008-02-05, FR</w:t>
      </w:r>
    </w:p>
    <w:p>
      <w:r>
        <w:rPr>
          <w:b/>
        </w:rPr>
        <w:t xml:space="preserve">Quelle: </w:t>
      </w:r>
      <w:r>
        <w:t>https://mcp.opencaselaw.ch/entscheid/vd_omni_BO.2007.0171</w:t>
      </w:r>
    </w:p>
    <w:p>
      <w:r>
        <w:t>FR: VD_OMNI BO.2007.0171 du 5 février 2008</w:t>
      </w:r>
    </w:p>
    <w:p>
      <w:r>
        <w:t>IT: VD_OMNI BO.2007.0171 del 5 febbraio 2008</w:t>
      </w:r>
    </w:p>
    <w:p>
      <w:pPr>
        <w:pStyle w:val="Heading2"/>
      </w:pPr>
      <w:r>
        <w:t>Regeste</w:t>
      </w:r>
    </w:p>
    <w:p>
      <w:r>
        <w:t>A.X. /Office cantonal des bourses d'études et d'apprentissage | Recours admis. Le montant octroyé à la recourante qui suit une formation à Lausanne et habite Orbe où elle occupe un appartement avec son enfant est insuffisant. Même en tenant compte des revenus des parents, elle a droit en plus du montant octroyé par l'autorité intimée à une allocation pour insuffisance de revenu et à une participation pour les frais de repas de midi.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Toute personne remplissant les conditions fixées par la loi du 11 septembre 1973 sur l'aide aux études et à la formation professionnelle (LAEF; RSV 416.11) a droit au soutien financier de l'Etat (art.</w:t>
      </w:r>
    </w:p>
    <w:p>
      <w:r>
        <w:rPr>
          <w:b/>
        </w:rPr>
        <w:t>E. 4</w:t>
      </w:r>
    </w:p>
    <w:p>
      <w:r>
        <w:t>Il résulte des considérants qui précèdent que le recours est admis, la décision de l'autorité intimée étant réformée en ce sens que le droit à la bourse de la requérante se monte à 19'868 fr. Vu l'issue du recours, le présent arrêt est rendu sans frais (art. 55 LJPA).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