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BO.2007.0160 vom 6. Mai 2008</w:t>
      </w:r>
    </w:p>
    <w:p>
      <w:r>
        <w:t>VD Tribunal cantonal, 2008-05-06, FR</w:t>
      </w:r>
    </w:p>
    <w:p>
      <w:r>
        <w:rPr>
          <w:b/>
        </w:rPr>
        <w:t xml:space="preserve">Quelle: </w:t>
      </w:r>
      <w:r>
        <w:t>https://mcp.opencaselaw.ch/entscheid/vd_omni_BO.2007.0160</w:t>
      </w:r>
    </w:p>
    <w:p>
      <w:r>
        <w:t>FR: VD_OMNI BO.2007.0160 du 6 mai 2008</w:t>
      </w:r>
    </w:p>
    <w:p>
      <w:r>
        <w:t>IT: VD_OMNI BO.2007.0160 del 6 maggio 2008</w:t>
      </w:r>
    </w:p>
    <w:p>
      <w:pPr>
        <w:pStyle w:val="Heading2"/>
      </w:pPr>
      <w:r>
        <w:t>Regeste</w:t>
      </w:r>
    </w:p>
    <w:p>
      <w:r>
        <w:t>A.X. /Office cantonal des bourses d'études et d'apprentissage | En tenant compte des seuls revenus de l'épouse du requérant tels qu'ils apparaissent sur les fiches de salaire pour l'année 2007, l'autorité à déjà procédé à une évaluation du revenu au sens de l'art. 10b RAE.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(LAE ; RSV 416.11)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La nécessité et la mesure du soutien à accorder dépendent donc des moyens financiers dont le requérant, ses père et mère ou tout tiers qui subvient à son entretien disposent pour assumer ses frais d'études, de formation et d'entretien (art. 14 al. 1 et al.2 LAE). b) Les critères pour déterminer la capacité financière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17 LAE précise en particulier que pour établir la capacité financière du requérant marié on tiendra compte de celle de son conjoint.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(RAE ;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L'art. 8b, introduit le 1 er août 2006, précise ceci: "Les charges normales telles que définies à l'article 8 du présent règlement pour un requérant indépendant, marié ou lié par partenariat enregistré et sans charge de famille s'élèvent à fr. 2'500.- pour le couple". Aux termes de l'art. 10 RAE, le revenu familial déterminant est constitué du code 650 de la décision de taxation définitive relative à la période fiscale qui précède  l'année civile précédent la demande, l'office statuant provisoirement sur la base de la dernière décision disponible. A défaut, l'office évalue le revenu du parent  concerné sur la base des éléments dont il dispose (art. 10c al. 2 RAE). Les art. 11 et 11a al. 1 et 2 RAE, précisent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c)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w:t>
      </w:r>
    </w:p>
    <w:p>
      <w:r>
        <w:rPr>
          <w:b/>
        </w:rPr>
        <w:t>E. 3</w:t>
      </w:r>
    </w:p>
    <w:p>
      <w:r>
        <w:t>Le recourant ne remplissant pas les conditions financières à l'octroi d'une allocation, il n'y a pas lieu d'examiner s'il aurait droit à une bourse ou à un prêt en application de l'art. 6 ch. 6 LAE. Au vu des considérants qui précèdent, le recours doit être rejeté et la décision confirmée. Vu le sort du recours, l'émolument de justice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