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BO.2007.0132 vom 21. Dezember 2007</w:t>
      </w:r>
    </w:p>
    <w:p>
      <w:r>
        <w:t>VD Tribunal cantonal, 2007-12-21, FR</w:t>
      </w:r>
    </w:p>
    <w:p>
      <w:r>
        <w:rPr>
          <w:b/>
        </w:rPr>
        <w:t xml:space="preserve">Quelle: </w:t>
      </w:r>
      <w:r>
        <w:t>https://mcp.opencaselaw.ch/entscheid/vd_omni_BO.2007.0132</w:t>
      </w:r>
    </w:p>
    <w:p>
      <w:r>
        <w:t>FR: VD_OMNI BO.2007.0132 du 21 décembre 2007</w:t>
      </w:r>
    </w:p>
    <w:p>
      <w:r>
        <w:t>IT: VD_OMNI BO.2007.0132 del 21 dicembre 2007</w:t>
      </w:r>
    </w:p>
    <w:p>
      <w:pPr>
        <w:pStyle w:val="Heading2"/>
      </w:pPr>
      <w:r>
        <w:t>Regeste</w:t>
      </w:r>
    </w:p>
    <w:p>
      <w:r>
        <w:t>A.X. /Office cantonal des bourses d'études et d'apprentissage | L'Ecole Vinet ne recevant aucune subvention publique, elle ne peut être reconnue d'utilité publique. Aucune difficulté, liée notamment à l'état de santé de l'intéressé, ne l'empêcherait de fréquenter une école publique. La nécessité d'un rattrapage scolaire qui ne pourrait être effectué qu'auprès de l'Ecole Vinet ne constitue pas non plus une raison impérieuse justifiant une dérogation au principe général.</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 RSV 173.36). Il y a donc lieu d'entrer en matière sur le fond.</w:t>
      </w:r>
    </w:p>
    <w:p>
      <w:r>
        <w:rPr>
          <w:b/>
        </w:rPr>
        <w:t>E. 2</w:t>
      </w:r>
    </w:p>
    <w:p>
      <w:r>
        <w:t>a) L'Etat encourage financièrement l'apprentissage et la poursuite des études après le terme de l'obligation scolaire (art. 1 de la loi du 11 septembre 1973 sur l'aide aux études et à la formation professionnelle [LAEF ; RSV 416.11]).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lettres a à g LAEF). b)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LAEF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c) Selon la jurisprudence du Tribunal administratif, le critère pour déterminer si une école est reconnue d'utilité publique au sens de l'art. 6 al. 1 ch. 1 LAEF est l'existence d'une aide financière accordée par l'Etat, sous forme de subventionnement, pour lui permettre de réduire les frais d'écolage (RDAF 1984 p. 250 cons. 2a; arrêt BO 2003.0031 du 19 avril 2004 et références). Dans le domaine des formations professionnelles, ce subventionnement est prévu par l'art. 13 de la loi du 19 septembre 1990 sur la formation professionnelle (LVLFPr, RSV 413.01). Le tribunal a ainsi jugé qu'indépendamment de la qualité de la formation dispensée et du titre professionnel obtenu, une école privée qui ne reçoit aucun subventionnement de l'Etat n'est pas reconnue d'utilité publique au sens de la LAEF (cf. arrêt BO.2003.0031 précité). Dans un arrêt BO.2005.0112 du 3 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d) L’art. 6 al. 1 ch. 4 LAEF prévoit cependant que le soutien financier de l’Etat peut être octroyé exceptionnellement aux élèves fréquentant des écoles privées, si des raisons impérieuses les empêchent de fréquenter les écoles publiques reconnues. L’art.</w:t>
      </w:r>
    </w:p>
    <w:p>
      <w:r>
        <w:rPr>
          <w:b/>
        </w:rPr>
        <w:t>E. 4</w:t>
      </w:r>
    </w:p>
    <w:p>
      <w:r>
        <w:t>Conformément à l’art.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