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BO.2007.0071 vom 10. Juli 2007</w:t>
      </w:r>
    </w:p>
    <w:p>
      <w:r>
        <w:t>VD Tribunal cantonal, 2007-07-10, FR</w:t>
      </w:r>
    </w:p>
    <w:p>
      <w:r>
        <w:rPr>
          <w:b/>
        </w:rPr>
        <w:t xml:space="preserve">Quelle: </w:t>
      </w:r>
      <w:r>
        <w:t>https://mcp.opencaselaw.ch/entscheid/vd_omni_BO.2007.0071</w:t>
      </w:r>
    </w:p>
    <w:p>
      <w:r>
        <w:t>FR: VD_OMNI BO.2007.0071 du 10 juillet 2007</w:t>
      </w:r>
    </w:p>
    <w:p>
      <w:r>
        <w:t>IT: VD_OMNI BO.2007.0071 del 10 luglio 2007</w:t>
      </w:r>
    </w:p>
    <w:p>
      <w:pPr>
        <w:pStyle w:val="Heading2"/>
      </w:pPr>
      <w:r>
        <w:t>Regeste</w:t>
      </w:r>
    </w:p>
    <w:p>
      <w:r>
        <w:t>A.X. /Office cantonal des bourses d'études et d'apprentissage | Confirmation, par substitution de motifs, de refus d'octroi d'une bourse à un requérant dont les parents, en instance de divorce, disposent d'un revenu suffisant pour lui permettre de financer ses études.</w:t>
      </w:r>
    </w:p>
    <w:p>
      <w:pPr>
        <w:pStyle w:val="Heading2"/>
      </w:pPr>
      <w:r>
        <w:t>Erwägungen</w:t>
      </w:r>
    </w:p>
    <w:p>
      <w:r>
        <w:rPr>
          <w:b/>
        </w:rPr>
        <w:t>E. 1</w:t>
      </w:r>
    </w:p>
    <w:p>
      <w:r>
        <w:t>a)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 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(douze mois si le requérant a 25 ans révolus) est domicilié dans le canton de Vaud et s'y est rendu financièrement indépendant (ch. 2). b) En l'espèce, le recourant est majeur ; comme il n'a pas exercé d'activité lucrative pendant dix-huit mois au moins avant le début de la formation pour laquelle il demande l'aide de l'Etat, il y a lieu de considérer qu'il ne s'est pas rendu financièrement indépendant au sens de l'art. 12 ch. 2 LAE. Dans ces circonstances, la nécessité et la mesure du soutien à lui accorder dépendent des moyens financiers dont sa mère, son père et lui-même disposent pour assumer ses frais d'études, de formation et d'entretien, ce conformément à l'art. 14 al. 1 LAE. On rappelle que cette disposition repose sur le postulat que « Les père et mère doivent pourvoir à l’entretien de l’enfant et assumer, par conséquent, les frais de son éducation, de sa formation et des mesures prises pour le protéger » (art. 276 al. 1 CC). Elle est complétée par l’art. 277 CC à teneur duquel : « 1. L’obligation d’entretien des père et mère dure jusqu’à la majorité de l’enfant.</w:t>
      </w:r>
    </w:p>
    <w:p>
      <w:r>
        <w:rPr>
          <w:b/>
        </w:rPr>
        <w:t>E. 2</w:t>
      </w:r>
    </w:p>
    <w:p>
      <w:r>
        <w:t>a) 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Aux termes de l'art. 18 LAE, les «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 En fait, depuis la modification du règlement d'application de la LAE (RAE) le 10 juillet 1996, les charges normales sont fixées par l'art. 8 al. 2 RAE. Elles «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 Ainsi, les charges retenues pour l'allocation d'une bourse sont préétablies; elles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 Sans doute la loi présente-t-elle dans la définition des conditions financières donnant droit à la bourse un certain schématisme. Aussi regrettable qu'il puisse paraître du point de vue du droit désirable, ce schématisme a cependant été clairement voulu par le législateur; le tribunal de céans ne peut que s'y conformer. b) L’autorité intimée, par substitution de motifs, estime que la capacité financière de la famille du recourant permettrait de faire face aux frais de formation de celui-ci, ce que le recourant conteste. aa) Le revenu familial déterminant (capacité financière) est constitué, en règle générale, du chiffre 650 (moyenne des revenus nets des deux années précédentes) de la dernière déclaration d'impôt admise par l’office d'impôt (art. 10 al. 1 RAE). Cette référence au revenu fiscal résultant de la dernière taxation offre à l'administration l'avantage de la simplicité : les commissions d'impôt renseignent directement l'office sur la taxation fiscale et les éléments constitutifs de la fortune nette (art. 10 al.</w:t>
      </w:r>
    </w:p>
    <w:p>
      <w:r>
        <w:rPr>
          <w:b/>
        </w:rPr>
        <w:t>E. 3</w:t>
      </w:r>
    </w:p>
    <w:p>
      <w:r>
        <w:t>Le recours sera par conséquent rejeté et la décision attaquée maintenue, par substitution de motifs. A.X.________, vu l’issue du recours, en supportera les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