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BO.2006.0101 vom 10. Januar 2007</w:t>
      </w:r>
    </w:p>
    <w:p>
      <w:r>
        <w:t>VD Tribunal cantonal, 2007-01-10, FR</w:t>
      </w:r>
    </w:p>
    <w:p>
      <w:r>
        <w:rPr>
          <w:b/>
        </w:rPr>
        <w:t xml:space="preserve">Quelle: </w:t>
      </w:r>
      <w:r>
        <w:t>https://mcp.opencaselaw.ch/entscheid/vd_omni_BO.2006.0101</w:t>
      </w:r>
    </w:p>
    <w:p>
      <w:r>
        <w:t>FR: VD_OMNI BO.2006.0101 du 10 janvier 2007</w:t>
      </w:r>
    </w:p>
    <w:p>
      <w:r>
        <w:t>IT: VD_OMNI BO.2006.0101 del 10 gennaio 2007</w:t>
      </w:r>
    </w:p>
    <w:p>
      <w:pPr>
        <w:pStyle w:val="Heading2"/>
      </w:pPr>
      <w:r>
        <w:t>Regeste</w:t>
      </w:r>
    </w:p>
    <w:p>
      <w:r>
        <w:t>X./Office cantonal des bourses d'études et d'apprentissage | Il n'est pas exclu que les études suivies auprès de la faculté des SSP à l'UNIL soient la suite logique de la formation précédemment entreprise auprès de l'EESP. Question laissée ouverte dès lors que, de toute façon, les revenus de la famille de la requérante, qui n'est pas financièrement indépendante de ses parents, permettent de faire face aux frais d'études de celle-ci.</w:t>
      </w:r>
    </w:p>
    <w:p>
      <w:pPr>
        <w:pStyle w:val="Heading2"/>
      </w:pPr>
      <w:r>
        <w:t>Erwägungen</w:t>
      </w:r>
    </w:p>
    <w:p>
      <w:r>
        <w:rPr>
          <w:b/>
        </w:rPr>
        <w:t>E. 1</w:t>
      </w:r>
    </w:p>
    <w:p>
      <w:r>
        <w:t>L’autorité intimée a rendu une décision négative au motif que la recourante avait déjà reçu une bourse pour une formation précédente, d’une part, et que les études nouvellement entreprises ne permettraient pas à la recourante d’accéder à un titre plus élevé dans la formation initialement choisie. La recourante conteste ces deux motifs. Elle se prévaut de ce que le montant de la bourse précédemment reçue pour sa formation initiale était insuffisant et totalement inadapté à ses besoins. Elle fait en outre valoir que le diplôme HES qu’elle a obtenu n’est pas équivalent au diplôme universitaire qu’elle vise ; elle rappelle à cet égard que n’étant pas porteuse d’un certificat de maturité ou équivalent, elle avait accompli des études à l’EESP pour entrer à l’UNIL. a) L'art. 6 ch. 5 de la loi du 11 septembre 1973 sur l'aide aux études et à la formation professionnelle (ci-après : LAE) prévoit que l'aide est octroyée, lorsqu'elle est nécessaire, « a ux personnes qui, après l'obtention d'un premier titre professionnel ou universitaire, continuent ou reprennent leurs études dans un établissement public ou reconnu permettant d'accéder à un titre plus élevé dans la formation choisie initialement » (al. 1 er ).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L'exposé des motifs à l'appui de la modification législative du 22 mai 1979 donne l'exemple d'un mécanicien qui poursuit sa formation à l'Ecole technique supérieure et aboutit finalement à l'Ecole polytechnique fédérale. Le titre le plus élevé obtenu, celui d'ingénieur de l'EPFL, est ainsi le plus élevé de la formation de base, savoir la mécanique (v. BGC printemps 1979, p. 419). En revanche, le but de l'art. 6 ch. 5 LAE n'est pas de faire bénéficier du soutien financier de l'Etat celui qui serait au bénéfice du titre le plus élevé dans la formation choisie initialement et qui souhaiterait parfaire ses connaissances dans un domaine plus particulier ou dans une activité différente, fût-elle voisine de la formation de base. Pour reprendre l'exemple ci-dessus, un ingénieur diplômé en mécanique de l'EPFL qui aurait obtenu une bourse pour acquérir ce titre n'aurait pas droit à une allocation pour compléter sa formation à l'Ecole d'ingénieurs de l'Etat de Vaud, cela quand bien même la formation pratique dispensée dans cette école lui serait utile (v. arrêt BO 2004.0128 du 9 février 2005). Dans l’arrêt BO 2004.0076 du 1 er novembre 2004, le Tribunal administratif a en revanche considéré que la formation en sciences de la communication que la titulaire d’un CFC d’employée de commerce entendait entreprendre ne constituait pas une formation professionnelle complémentaire s'inscrivant dans le prolongement de celle choisie initialement, mais une formation nouvelle. Par ailleurs, l'art. 6 ch. 5 al. 2 LAE prévoit l'octroi de prêts, pendant une année académique, pour la préparation d'un troisième cycle ou d'un diplôme postgrade; de même, une aide peut être allouée pour la préparation d'une thèse universitaire (en principe pour une période de trois ans et sous forme de prêt ; ibid., al. 3). b)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C'est ainsi que l'art. 6 ch. 6 LAE dispose que le soutien financier de l'Etat est octroyé, lorsqu'il est nécessaire :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 à cet égard, le texte parfaitement clair de l'art. 6 ch. 6 LAE ne laisse aucun pouvoir d'appréciation à l'office (v. arrêts BO 2004.0076, déjà cité ; BO 1997.0073 du 17 novembre 1997). c) La jurisprudence distingue à cet égard les études dites "postgrades" de l'hypothèse visée par l'art. 6 ch. 6 LAE en considérant qu'une formation postgrade entre dans le champ d'application de l'art. 6 ch. 5 al. 2 LAE et non pas de l'art. 6 ch. 6 LAE (cf. arrêt BO.2004.0128 précité). Un étudiant qui, après avoir effectué une formation universitaire de base, désire compléter cette formation par un postgrade ne pourra ainsi obtenir qu'un prêt et non pas une bourse à fonds perdu (cf. art. 6 ch. 5 al. 2 LAE qui prévoit qu'une aide peut être accordée sous forme de prêt pendant une année académique pour la préparation d'un troisième cycle ou d'un diplôme postgrade). En revanche, peut obtenir une bourse l’étudiant qui entreprend une formation ne correspondant pas à un postgrade au sens où on l'entend usuellement, dans la mesure où il ne s'agit pas pour lui de compléter sa formation universitaire de base, pour laquelle il n’avait pas obtenu de bourse, mais bien de suivre une formation nouvelle, sans lien avec la précédente (v. arrêt BO 2005.0056 du 14 juillet 2005). d) L’autorité intimée a considéré dans le cas d’espèce que la recourante avait entrepris une nouvelle formation. Pour elle, la faculté des SSP prépare à des types d’activités professionnelles de nature différente, sans venir compléter ou étayer la formation dispensée par l’EESP. Il est vrai que cette dernière formation, pour laquelle une bourse a été octroyée à la recourante, a été couronnée par l’obtention d’un diplôme que la celle-ci pourrait faire valoir sur le marché du travail. Toutefois, l’autorité intimée semble avoir perdu de vue que la recourante n’était pas porteuse d’un certificat de maturité. A cet égard, si l’on se fie à ses explications de la recourante, il n’est pas exclu de considérer les études qu’elle suit auprès de la faculté des SSP à UNIL comme étant la suite logique de la formation entreprise auprès de l’EESP. A tout le moins, l’affirmation de l’autorité intimée selon laquelle cette formation nouvellement entreprise serait de nature différente que celle initialement suivie est sans doute hâtive. Quoi qu’il en soit, on peut laisser indécise la question de savoir si l’on se trouve en l’occurrence dans le champ d’application de l’art. 6 al. 5 LAE et si la recourante peut prétendre à l’octroi d’une bourse.</w:t>
      </w:r>
    </w:p>
    <w:p>
      <w:r>
        <w:rPr>
          <w:b/>
        </w:rPr>
        <w:t>E. 2</w:t>
      </w:r>
    </w:p>
    <w:p>
      <w:r>
        <w:t>En effet, la décision négative entreprise repose sur un second motif ; la capacité financière de la famille de la recourante dépasserait les normes fixées par le barème applicable en la matière. La recourante le conteste également, expliquant qu’elle est indépendante de ses parents auxquels, par surcroît, elle ne peut imposer l’obligation de lui venir en aide. a) Les conditions financières du soutien financier de l'Etat pour la poursuite d'études ou d'une formation professionnelle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En l'espèce, la recourante, âgée de 24 ans révolus au moment de la demande, est, certes, majeure. Sans doute, elle a sans doute exercé une activité lucrative pendant dix-huit mois au moins avant le début de la formation pour laquelle elle demande l'aide de l'Etat. Toutefois, son revenu global net durant cette période se monte à 13'932 fr.25, alors que la prise en compte du salaire global doit s’élever à 25'200 francs au moins, pour que l’on considère que le requérant majeur âgé de moins de 25 ans s’est rendu financièrement indépendant, à teneur du barème approuvé par le Conseil d’Etat et constamment confirmé depuis lors par la jurisprudence du Tribunal administratif. Dès lors, il y a lieu de considérer que la recourante n’est pas financièrement indépendante au sens de l'art. 12 ch. 2 LAE, nonobstant le fait qu’elle habite son propre logement. Dans ces circonstances, la nécessité et la mesure du soutien à lui accorder dépendent exclusivement des moyens financiers dont ses parents disposent pour assumer ses frais d'études, de formation et d'entretien, conformément à l'art. 14 al. 1 LAE. b)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c) Dans le cas d'espèce, si l’on se fonde, conformément à l'art. 10 al. 1 RAE, sur la dernière décision de taxation, à savoir la période de taxation 2004 postnumerando, il en ressort que les revenus du ménage que la recourante forme avec ses parents se montent à 60’131 francs ( 59'032 + 1’099). S’agissant des charges du ménage, il n’y a pas lieu en effet de prendre en considération le coût de la location que la recourante partage à Lausanne avec deux colocataires. En effet, la recourante n’établit pas en quoi il était indispensable pour elle de prendre un logement séparé de ses parents. Il appert dans ces conditions qu’avec un revenu mensuel de 5’010 francs, l'excédent de revenu dont dispose le ménage est de 1'110 francs par mois (5’010 -3’900). Réparti en trois parts (la sœur aînée de la recourante est indépendante), dont deux pour l’enfant en formation (art. 11 RAE), cet excédent permet d'affecter aux frais d'études de la recourante la somme annuelle de 8’880 francs ({[1’110 : 3] x 2} x 12 mois). Cette part de l'excédent du revenu familial afférente à la recourante couvre le coût annuel de ses études (5'210 fr.), de sorte qu’aucune aide ne peut lui être allouée (art. 20 LAE a contrario et 11a RAE). Cette solution s’impose d’autant plus si l’on se fie aux indications figurant au dossier pour l’année 2005. Certes, le revenu des époux X.________ a diminué puisqu’il se monte désormais à 57’103 francs, mais cette diminution est compensée par l’augmentation du revenu de la recourante qui, dans sa demande, fait état de 5'502 fr. de salaire total pour l’année 2005.</w:t>
      </w:r>
    </w:p>
    <w:p>
      <w:r>
        <w:rPr>
          <w:b/>
        </w:rPr>
        <w:t>E. 3</w:t>
      </w:r>
    </w:p>
    <w:p>
      <w:r>
        <w:t>Les considérants qui précèdent conduisent par conséquent le tribunal à rejeter le recours et à confirmer la décision attaquée. Vu le sort du recours, un émolument d’arrêt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