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BO.2006.0076 vom 1. März 2007</w:t>
      </w:r>
    </w:p>
    <w:p>
      <w:r>
        <w:t>VD Tribunal cantonal, 2007-03-01, FR</w:t>
      </w:r>
    </w:p>
    <w:p>
      <w:r>
        <w:rPr>
          <w:b/>
        </w:rPr>
        <w:t xml:space="preserve">Quelle: </w:t>
      </w:r>
      <w:r>
        <w:t>https://mcp.opencaselaw.ch/entscheid/vd_omni_BO.2006.0076</w:t>
      </w:r>
    </w:p>
    <w:p>
      <w:r>
        <w:t>FR: VD_OMNI BO.2006.0076 du 1 mars 2007</w:t>
      </w:r>
    </w:p>
    <w:p>
      <w:r>
        <w:t>IT: VD_OMNI BO.2006.0076 del 1 marzo 2007</w:t>
      </w:r>
    </w:p>
    <w:p>
      <w:pPr>
        <w:pStyle w:val="Heading2"/>
      </w:pPr>
      <w:r>
        <w:t>Regeste</w:t>
      </w:r>
    </w:p>
    <w:p>
      <w:r>
        <w:t>X./Office cantonal des bourses d'études et d'apprentissage | En l'espèce, les aides financières octroyées par des institutions privées constituent des subsides expréssement destinés au paiement des études de la recourante; cette dernière devait les déclarer à l'office cantonal. L'excédent de revenu attribué à la recourante couvrant largement les frais d'études calculés, le droit à l'octroi d'une bourse aurait dû lui être refusé. Or, vu l'interdiction de la reformatio in pejus, le tribunal ne peut que confirmer la décision attaquée.</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w:t>
      </w:r>
    </w:p>
    <w:p>
      <w:r>
        <w:rPr>
          <w:b/>
        </w:rPr>
        <w:t>E. 2</w:t>
      </w:r>
    </w:p>
    <w:p>
      <w:r>
        <w:t>a)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b)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ce schématisme a été voulu par le législateur et le tribunal ne peut que s’y conformer (cf. arrêt TA BO 2005/0010 du 19 mai 2005 ; voir aussi Luc Recordon, Tâches de l’Etat et des communes, L’enseignement et la formation, in La Constitution vaudoise du 14 avril 2003, édité par Pierre Moor, p. 152-153). c) Le revenu familial déterminant (capacité financière) est constitué, en règle générale, du chiffre 20 (moyenne des revenus nets des deux années précédentes) de la dernière déclaration d’impôt admis par la Commission d’impôt (art. 10 al. 1 RAE), soit le chiffre 650 de la nouvelle déclaration d’impôt. En l’espèce, le revenu annuel net de la mère de la recourante s’élève à 52'600 fr. pour l’année 2004, soit environ 4'383 fr. par mois ; ce revenu s’élève ainsi à 61'366 fr. pour la période de formation concernée, soit du 15 octobre 2005 au 31 décembre 2006 (52'600/12 x14). A ce montant doit s’ajouter l’aide financière accordée par toute institution publique ou privée, si ce subside est expréssement destiné au paiement des frais d’études tels qu’ils sont définis par l’art. 19 de la LAE (art. 16 al. 2 let. c LAE). En l’espèce, la recourante bénéficie de deux bourses octroyées par des institutions privées et destinées à payer ses études. En effet, à la lecture attentive du courrier du 8 juillet 2004, le tribunal constate que la Fondation Max Husmann a accordé à l’intéressée « une bourse mensuelle de CHF 500.- pour vos études auprès de l’Université de Lausanne, à partir du mois de juillet 2004 jusqu’au décembre 2006 (date prévue de votre diplôme) ». Pour sa part, la Société Académique Vaudoise a décidé d’octroyer le 8 décembre 2005 une bourse de 7000fr. « pour vous permettre de terminer vos études en médecine ». Le libellé de ces décisions ne fait ainsi aucun doute ; par conséquent, le tribunal considère que ces subsides constituent des aides financières expréssement destinées au paiement des frais d’études de la recourante. En définitive, le revenu total déterminant pour la période en cause se monte à 75'366 fr. (61'366 +7'000 [500x14] +7'000). d) On déduit ensuite de ce revenu les charges normales ; elles s'élèvent à 2’500 fr. pour un parent, auxquels s'ajoutent 700 fr. par enfant mineur et 800 fr. par enfant majeur à charge (art. 8 RAE). En l’espèce, elles s’élèvent à 4'000 fr. (2'500 + 700 + 800). Par rapport à ce chiffre, l'excédent de revenu dont dispose la famille est de 19'366 fr. (75'366 – 56'000 [4'000 x14]), qu’il convient de répartir à raison d’une part pour la mère de la recourante, d’une part pour son frère et de deux parts pour la recourante elle-même (art. 11 RAE) ; cet excédent permet ainsi d'affecter aux frais d'études de cette dernière la somme de 9’683 fr. (19'366/4 x 2) pour la période de formation en cause. e) S’agissant des frais d’études établis sur 14 mois, l’autorité intimée les a arrêtés à 5’794 fr. A cet égard, la recourante soutient dans son mémoire complémentaire que l’office a retenu à tort que la sixième année de médecine ne comportait que deux semestres : elle affirme ainsi avoir payé trois fois les taxes semestrielles, sans toutefois produire de preuves pour appuyer ses dires. De plus, les frais de repas comptabilisés ne seraient pas suffisants puisque la recourante prendrait ses repas sur le lieu d’études pendant les 14 mois que dure la formation. Elle conteste ainsi les taxes d’inscription et les repas de midi calculés par l’office. S’agissant des frais d’inscription, le tribunal s’est renseigné auprès du Service des Immatriculations et Inscriptions de l’Université de Lausanne. Il ressort du dossier que la recourante a tout d’abord payé des frais d’inscription d’un montant de 530 fr. pour le semestre d’hiver 2005-2006 ; pour le semestre d’été 2006, ses frais d’inscription se sont élevés à 380 fr. et elle s’est acquittée d’une taxe réduite de 180 fr. pour les derniers mois de son cursus. Par conséquent, l’autorité intimée aurait dû calculer des frais d’inscription totaux de 1’090 fr. (530+380+180) au lieu de 1'060 fr. Quant aux frais de repas, l’autorité intimée a retenu un forfait sur 10 mois, considérant que l’intéressée avait la possibilité de rentrer à son domicile durant la période des examens. Or, la période de formation en cause se partage de manière égale entre les cours et les examens, ce qui signifie que la période d’examens s’étale sur 7 mois, fait confirmé par la recourante elle-même. L’autorité intimée aurait donc dû octroyer un forfait pour les repas de midi sur 7 mois correspondant à la période des cours, soit 1'400 fr. (200 x 7) au lieu des 2'000 fr. calculés. Il faut ici préciser que le domicile de la recourante et l’endroit où elle révise ses examens pour des raisons pratiques, soit son lieu d’études, se situent dans la même ville et sont de surcroît géographiquement très proches l’un de l’autre. La recourante a donc la possibilité de rentrer à son domicile pour prendre ses repas. Dès lors, dans la mesure où le lieu de révision, et par conséquent le fait de rester sur place lors des pauses de midi, relève du choix personnel, le tribunal ne saurait en tenir compte. S’agissant des frais de déplacement, ils sont comptabilisés sur une durée de 14 mois. En effet, les examens sont agendés sur une période de 7 mois de manière aléatoire ; le forfait octroyé pour le déplacement en transports publics correspond ainsi à un abonnement mensuel. Au vu de ce qui précède, le tribunal considère que les frais d’études devrait s’élever à 5’224 fr. (1'090+1'500+660+1'400+574), soit 570 fr. de moins que le montant calculé par l’autorité intimée. En l’espèce, l’excédent de revenu attribué à la recourante, soit 9'683 fr., couvre dans une large mesure les frais d’études calculés (5'224 fr.) ; par conséquent, le droit à l’octroi d’une bourse aurait dû être refusé à la recourante. Or, l’office a rendu le 21 juillet 2006 une décision de remboursement de 3'500 fr., ce qui correspond à une bourse de 910 fr. accordée à la recourante. Toutefois, l'interdiction de la "reformatio in pejus" fait obstacle à l'annulation de la décision attaquée ; le Tribunal administratif a en effet régulièrement jugé qu'en l'absence d'une disposition légale expresse il n'était pas habilité à modifier la décision attaquée au détriment des recourants.</w:t>
      </w:r>
    </w:p>
    <w:p>
      <w:r>
        <w:rPr>
          <w:b/>
        </w:rPr>
        <w:t>E. 3</w:t>
      </w:r>
    </w:p>
    <w:p>
      <w:r>
        <w:t>L'art. 25 al. 1 let. a LAE prévoit qu'au cours de la période pour laquelle l'allocation a été octroyée, le bénéficiaire ou son représentant légal doit déclarer sans délai à l'Office cantonal des bourses d'études et d'apprentissage tout fait nouveau de nature à entraîner la suppression ou la réduction des prestations qui lui sont accordées. S'il omet de le faire, son cas est assimilé à celui du requérant qui a obtenu une aide sur la foi d'indications inexactes (art. 15 al. 3 RAE). L'art. 30 LAE dispose que lorsqu'une allocation a été touchée indûment, sur la foi d'indications inexactes, sa restitution est exigée. Ainsi, à la lumière des éléments qui précèdent, le tribunal retient que la recourante a omis de déclarer à l’office les deux bourses accordées par des institutions privées, ce qui constitue des faits nouveaux propres à entraîner la réduction, voire la suppression, de la bourse cantonale. Au demeurant, la bonne foi invoquée par la recourante ne fait pas obstacle à l'obligation de rembourser des prestations indues lorsque la personne qui les a reçues se trouve encore enrichie lors de la répétition (v. art. 64 CC, qui énonce une règle générale applicable également en droit public [v. ATF 115 V 115, consid. 3b, p. 118 et les références citées]); or, l'administré qui s'est servi de la prestation indue pour faire des dépenses nécessaires, par exemple payer des dettes ou pourvoir à son entretien, est considéré comme toujours enrichi et, par conséquent, astreint à restituer (v. Grisel, Traité de Droit administratif, p. 621).</w:t>
      </w:r>
    </w:p>
    <w:p>
      <w:r>
        <w:rPr>
          <w:b/>
        </w:rPr>
        <w:t>E. 4</w:t>
      </w:r>
    </w:p>
    <w:p>
      <w:r>
        <w:t>Il résulte des considérants qui précèdent que le recours est rejeté et la décision attaquée confirmée, en ce sens que la recourante doit rembourser la somme de 3'500 fr. à l’Office cantonal des bourses d’études et d’apprentissage. Les frais de justice sont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