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BO.2006.0066 vom 23. Januar 2007</w:t>
      </w:r>
    </w:p>
    <w:p>
      <w:r>
        <w:t>VD Tribunal cantonal, 2007-01-23, FR</w:t>
      </w:r>
    </w:p>
    <w:p>
      <w:r>
        <w:rPr>
          <w:b/>
        </w:rPr>
        <w:t xml:space="preserve">Quelle: </w:t>
      </w:r>
      <w:r>
        <w:t>https://mcp.opencaselaw.ch/entscheid/vd_omni_BO.2006.0066</w:t>
      </w:r>
    </w:p>
    <w:p>
      <w:r>
        <w:t>FR: VD_OMNI BO.2006.0066 du 23 janvier 2007</w:t>
      </w:r>
    </w:p>
    <w:p>
      <w:r>
        <w:t>IT: VD_OMNI BO.2006.0066 del 23 gennaio 2007</w:t>
      </w:r>
    </w:p>
    <w:p>
      <w:pPr>
        <w:pStyle w:val="Heading2"/>
      </w:pPr>
      <w:r>
        <w:t>Regeste</w:t>
      </w:r>
    </w:p>
    <w:p>
      <w:r>
        <w:t>X./Office cantonal des bourses d'études et d'apprentissage | Confirmation de l'obligation de rembourser une bourse allouée provisoirement sur la base d'un revenu net revu à la hausse lors de la taxation définitive de la mère du requérant en raison du versement rétroactif de prestations de l'AI. La loi ne permet pas d'accorder une remise de dette.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Le recourant n'ayant pas exercé d'activité lucrative régulière pendant dix-huit mois au moins avant le début de la formation pour laquelle il demande l'aide de l'Etat, il ne s'est pas rendu financièrement indépendant au sens de la LAE. Dans ces circonstances, la nécessité et la mesure du soutien à lui accorder dépendent exclusivement des moyens financiers dont ses père et mère disposent pour assumer ses frais de formation et d'entretien.</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soutien de l'Etat est accordé quand les charges, augmentées du coût des études du requérant, excèdent le revenu (art. 20 LAE). En l'espèce, l'office avait alloué une bourse de 2'650 francs au recourant, en lui précisant qu'il s'agissait d'une décision susceptible de modification en sa faveur ou à son désavantage, selon sa taxation fiscale définitive 2003 et celle de sa mère. Cette dernière taxation a été notifiée avec un revenu net supérieur d'environ 6'000 francs à celui qui avait alors servi à calculer la capacité financière. Après réévaluation de la situation, il en est résulté que le recourant n'avait pas droit à une bourse selon les critères de le LAE. Il ne conteste d'ailleurs pas ce nouveau calcul, même s'il indique que le montant du rétroactif AI a été dépensé de bonne foi; celui-ci n'en a pas moins fait partie du patrimoine de sa mère et il ne saurait en être fait purement et simplement abstraction. C'est donc à juste titre que l'office en a tenu compte dans le calcul de la bourse précitée.</w:t>
      </w:r>
    </w:p>
    <w:p>
      <w:r>
        <w:rPr>
          <w:b/>
        </w:rPr>
        <w:t>E. 4</w:t>
      </w:r>
    </w:p>
    <w:p>
      <w:r>
        <w:t>La restitution des allocations touchées indûment est soumise aux mêmes modalités que le remboursement d'un prêt, conformément à l'art. 17 RAE. Cet article exclut uniquement l'application de l'art. 22 al. 2 LAE, relatif au prolongement de l'échéance du remboursement et à la remise de l'obligation de restituer. Comme on l'a vu, l e montant de 2'650 francs réclamé par l'autorité intimée correspond au montant de la bourse allouée pour l'année 2004-2005, durant laquelle le recourant ne remplissait pas les conditions de l'aide financière prévue par la loi. Ce montant a donc été perçu indûment, même s'il a servi à couvrir des frais d'études. On peut se demander si le recourant, dès lors qu'il explique que le rétroactif AI a servi indirectement à financer sa formation et celle de sa sœur, demande implicitement que sa dette lui soit remise. Quoi qu'il en soit, l'art. 30 LAE impose la restitution des allocations touchées indûment et ne permet pas à l'autorité de tenir compte des circonstances concrètes de l'espèce pour accorder une remise de dette, de sorte que la somme réclamée doit être remboursée. 5.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