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BO.2006.0060 vom 8. November 2006</w:t>
      </w:r>
    </w:p>
    <w:p>
      <w:r>
        <w:t>VD Tribunal cantonal, 2006-11-08, FR</w:t>
      </w:r>
    </w:p>
    <w:p>
      <w:r>
        <w:rPr>
          <w:b/>
        </w:rPr>
        <w:t xml:space="preserve">Quelle: </w:t>
      </w:r>
      <w:r>
        <w:t>https://mcp.opencaselaw.ch/entscheid/vd_omni_BO.2006.0060</w:t>
      </w:r>
    </w:p>
    <w:p>
      <w:r>
        <w:t>FR: VD_OMNI BO.2006.0060 du 8 novembre 2006</w:t>
      </w:r>
    </w:p>
    <w:p>
      <w:r>
        <w:t>IT: VD_OMNI BO.2006.0060 del 8 novembre 2006</w:t>
      </w:r>
    </w:p>
    <w:p>
      <w:pPr>
        <w:pStyle w:val="Heading2"/>
      </w:pPr>
      <w:r>
        <w:t>Regeste</w:t>
      </w:r>
    </w:p>
    <w:p>
      <w:r>
        <w:t>X./Office cantonal des bourses d'études et d'apprentissage | Recours rejeté en matière de bourse d'études; rappel de la jurisprudence constante du TA selon laquelle le forfait fixé dans le barème du Conseil d'Etat concernant les frais de fournitures scolaires devait être retenu, même si les frais effectifs étaient plus élevés, car ce forfait permettait de garantir une certaine égalité de traitement entre les requérants.</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 soutien de l'Etat doit être suffisant pour supprimer tout obstacle financier à la poursuite des études et à la formation professionnelle (art. 2 LAE). b) La bourse à laquelle la recourante a droit doit suffire à couvrir ses frais de formation et d'entretien, sans intervention de l'aide sociale (sur les rapports entre aide sociale et aide aux études et à la formation professionnelle, cf. arrêt TA BO 99/0112 du 16 février 2000 et les références). Pour le calcul du coût des études, sont prises en considération toutes les dépenses qu’elles nécessitent, y compris celles qui résultent de la distance entre le domicile et le lieu des études (art. 19 LAE). En vertu de l’art. 12 al. 1 du règlement d’application du 21 février 1975 de la LAE (ci-après :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RAE). Le soutien de l’Etat est accordé quand les charges, augmentées du coût des études du requérant, excèdent le revenu (art. 20 LAE). c) En l’espèce, la seule question qui se pose est celle des frais de fournitures scolaires à la charge de la recourante (art. 12 al. 1 let. b RAE). Les frais effectifs s’élèveraient à 3'300 fr. selon la recourante alors que l’autorité intimée a retenu un forfait de 2'000 fr. en se fondant sur le barème précité du Conseil d’Etat. En effet, selon ce dernier, un forfait de 2’000 fr. est le montant maximum admis pour les frais de matériel. L’autorité intimée a ainsi tenu compte de frais particulièrement élevés en retenant le maximum prévu par le barème pour les frais de matériel. Or, le Tribunal administratif a jugé dans une jurisprudence constante qu’il n’y avait pas lieu de s’écarter de ce forfait, car il permettait de garantir une certaine égalité de traitement entre les requérants (cf. notamment arrêts TA BO 2004/0185 du 24 juin 2005 ; BO 2004/0107 du 24 novembre 2004 ; BO 2002/0004 du 3 juillet 2002). Il n’y a pas lieu de revenir sur cette jurisprudence dans le cas d’espèce.</w:t>
      </w:r>
    </w:p>
    <w:p>
      <w:r>
        <w:rPr>
          <w:b/>
        </w:rPr>
        <w:t>E. 2</w:t>
      </w:r>
    </w:p>
    <w:p>
      <w:r>
        <w:t>Il résulte des considérants qui précèdent que le recours doit être rejeté et la décision attaquée confirmée. Au vu de ce résultat, un émolument de justice sera mis à la charge de la recourante qui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