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BO.2006.0022 vom 4. Juli 2006</w:t>
      </w:r>
    </w:p>
    <w:p>
      <w:r>
        <w:t>VD Tribunal cantonal, 2006-07-04, FR</w:t>
      </w:r>
    </w:p>
    <w:p>
      <w:r>
        <w:rPr>
          <w:b/>
        </w:rPr>
        <w:t xml:space="preserve">Quelle: </w:t>
      </w:r>
      <w:r>
        <w:t>https://mcp.opencaselaw.ch/entscheid/vd_omni_BO.2006.0022</w:t>
      </w:r>
    </w:p>
    <w:p>
      <w:r>
        <w:t>FR: VD_OMNI BO.2006.0022 du 4 juillet 2006</w:t>
      </w:r>
    </w:p>
    <w:p>
      <w:r>
        <w:t>IT: VD_OMNI BO.2006.0022 del 4 luglio 2006</w:t>
      </w:r>
    </w:p>
    <w:p>
      <w:pPr>
        <w:pStyle w:val="Heading2"/>
      </w:pPr>
      <w:r>
        <w:t>Regeste</w:t>
      </w:r>
    </w:p>
    <w:p>
      <w:r>
        <w:t>X c/Office cantonal des bourses d'études et d'apprentissage | Lorsque la situation financière de la famille s'est modifiée depuis la dernière taxation fiscale, l'office procède à une évaluation du revenu déterminant (art. 10b RAE). Cette règle s'impose, au-delà de sa lettre, chaque fois qu'une modification significative est intervenue par rapport au revenu et aux charges pris en considération lors de la dernière taxation.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Pendant les dix-huit mois qui précédaient le début de son master, la recourante a certes travaillé, mais son revenu mensuel net moyen (1'085 francs) est insuffisant pour qu'elle puisse prétendre à s'être rendue financièrement indépendante; il est en effet inférieur au minimum vital (selon le barème applicable au bénéficiaire de l'aide sociale, le minimum vital pour une personne seule se monte à 1'010 francs par mois, auquel s'ajoute notamment le loyer, les charges et frais médicaux). La recourante n'a pu subvenir à son entretien que parce qu'elle habitait chez ses parents (avant de vivre avec son ami) et recevait notamment de leur part une aide financière de 400 francs par mois. D'ailleurs, elle ne le conteste pas. Il s'ensuit que la recourante doit être considérée comme financièrement dépendante et que le calcul d'une bourse éventuelle doit s'effectuer en tenant compte de la capacité financière de ses parents.</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la recourante établis par l'office s'élèvent à 5'130 francs pour dix mois (écolage, manuels, matériel, outils : 2'760 francs; transport : 370 francs; repas de midi: 2'000 francs). Ces montants sont conformes aux art. 19 LAE et 12 RAE ainsi qu'au barème. Comme on l'a vu, les charges sont préétablies, ce qui ne permet pas de tenir compte des dépenses effectives de la recourante, qui a choisi de quitter le domicile familial pour des motifs de convenance personnelle.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du chiffre 650 de la déclaration d'impôt (revenu net). Toutefois, lorsque la situation financière de la famille s'est modifiée depuis la dernière taxation fiscale, l'office procède à une évaluation du revenu déterminant (art. 10b RAE). En fait, cette règle s'impose, au-delà de sa lettre, chaque fois qu'une modification significative est intervenue par rapport au revenu et aux charges pris en considération lors de la dernière taxation. Dans le cas d'espèce, le père de la recourante est devenu rentier AVS depuis le 1 er mai 2005. L'autorité intimée en a tenu compte à juste titre. Néanmoins, vu la déclaration d'impôt 2005 du père de la recourante qui n'était pas en possession de l'office au moment où elle a pris la décision litigieuse, il sied de calculer son revenu net de la manière suivante: AVS 240 2'804.00 Rente viagère 270 2'124.40 Rente espagnole 270 79.00 5'007.40 x 12 60'088.80 Assurance maladie et accident 300 -5'100.00 Total contribuable 398 54'988.80 Titres et autres placements 410 833.00 Déduction des intérêts de capitaux d'épargne 480 -68.00 Frais d'administration de titres 490 -38.00 Cotisations AVS versées par des personnes sans activité lucrative (Mme) 640 -435.00 Revenu net 650 55'280.80 Le revenu déterminant s'élève ainsi à 55'280 francs, soit un montant arrondi de 4'600 francs par mois (55'280 : 12 = 4'606). Quant à la fortune nette des parents, elle n'est pas prise en compte, puisque, selon le barème approuvé par le Conseil d'Etat, une déduction de 80'000 francs pour les parents et de 10'000 francs par enfant est admise. Il en va de même des gains accessoires de la recourante, dans la mesure où ils n'excèdent pas la franchise de 500 francs autorisée par le barème précité. c) On déduit ensuite du revenu les charges normales qui s'élèvent à 3'100 francs pour les deux parents, auxquelles s'ajoutent 800 francs par enfant majeur à charge (art. 8 al. 2 RAE). En l'espèce, elles s'élèvent donc à 3'900 francs (3'100 + 800). Compte tenu de ces charges, l'excédent de revenu familial est de 700 francs par mois (4'600 - 3'900). Réparti en quatre parts, dont deux pour la recourante (art. 11 RAE), cet excédent permet d'affecter aux frais d'études de cette dernière la somme annuelle de 4'200 francs ({[700: 4] x 2} x 12 ). Dès lors, c'est bien une bourse de 930 francs (5'130 – 4'200 = 930) qui doit être allouée à la recourante.</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