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BO.2005.0089 vom 29. Dezember 2005</w:t>
      </w:r>
    </w:p>
    <w:p>
      <w:r>
        <w:t>VD Tribunal cantonal, 2005-12-29, FR</w:t>
      </w:r>
    </w:p>
    <w:p>
      <w:r>
        <w:rPr>
          <w:b/>
        </w:rPr>
        <w:t xml:space="preserve">Quelle: </w:t>
      </w:r>
      <w:r>
        <w:t>https://mcp.opencaselaw.ch/entscheid/vd_omni_BO.2005.0089</w:t>
      </w:r>
    </w:p>
    <w:p>
      <w:r>
        <w:t>FR: VD_OMNI BO.2005.0089 du 29 décembre 2005</w:t>
      </w:r>
    </w:p>
    <w:p>
      <w:r>
        <w:t>IT: VD_OMNI BO.2005.0089 del 29 dicembre 2005</w:t>
      </w:r>
    </w:p>
    <w:p>
      <w:pPr>
        <w:pStyle w:val="Heading2"/>
      </w:pPr>
      <w:r>
        <w:t>Regeste</w:t>
      </w:r>
    </w:p>
    <w:p>
      <w:r>
        <w:t>X. c/Office cantonal des bourses d'études et d'apprentissage | Une pension mensuelle versée par le père du boursier, qui n'apparaît pas dans la déclaration d'impôt de sa mère, doit être considérée comme un revenu d'appoint, à prendre en compte dans la mesure où il dépasse la franchise de 500 fr.</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ce schématisme a été voulu par le législateur et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d’impôt.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(art. 10b al. 1 RAE). En l’espèce, la mère du recourant a perçu en 2004 un revenu inférieur à 2003. Il convient donc de se référer à la déclaration d’impôt 2004. Toutefois, le montant figurant au ch. 650 de cette déclaration (43'390 fr.) n’est pas celui que l’office d’impôt a retenu dans sa décision de taxation et de calcul du 27 juin 2005. En effet, le montant retenu s’élève à 36'618 fr. A ce montant, il faut ajouter la part des gains réalisés par le frère du recourant supérieure à la franchise de 500 fr. brut (cf. art. 10a RAE), soit 633.50 fr. par mois (1'133.50 fr.- 500 fr.) et donc 7'602 fr. par an. S’agissant de la pension mensuelle de 600 fr. versée par le père en faveur du recourant, elle ne figure pas dans la déclaration d’impôt 2004 de sa mère. Il faut donc la considérer comme un revenu d’appoint du recourant qui doit être comptabilisé en tant qu’il dépasse la franchise de 500 fr. (cf. art. 10a RAE), soit à concurrence de 100 fr. par mois (600 fr.- 500 fr.) et donc 1'200 fr. par an. Le revenu familial s’élève ainsi à 45’420 fr. par an (36'618 fr. + 7'602 fr. + 1'200 fr.), soit à 3'785 fr. par mois. Selon l’art. 10 al. 2 RAE, à ce revenu peut s’ajouter une part de la fortune nette, déterminée par un barème du Conseil d’Etat. Selon ce barème, une déduction de 80'000 fr. pour le ou les parents et de 10'000 fr. par enfant, à charge ou pas, est autorisée de la fortune nette. La fortune nette de la mère du recourant s’élève à 208'000 fr. selon la décision de taxation et de calcul pour l’impôt 2004 du 27 juin 2005. En déduisant 100'000 fr. (80'000 fr. + 20'000 fr. [un parent et deux enfants]) de cette somme, on obtient un montant de 108'000 fr. qu’il convient de multiplier par le coefficient prévu par le barème (5,5%). C’est donc un total de 5’940 fr. (5,5% x 108'000) qui doit être ajouté au revenu annuel net. Le revenu déterminant s’élève donc à 51’360 fr. par an, soit à 4’280 fr. par mois. Pour le surplus, l’autorité intimée n'a pas pris en considération la situation du père, nonobstant l’art. 10c RAE, dont on ignore la situation. Il apparaît toutefois superflu de procéder sur ce point à des mesures d'instruction complémentaires ; l'interdiction de la reformatio in pejus fait en effet obstacle à l'annulation de la décision litigieuse à cet égard. Le Tribunal administratif a en effet régulièrement jugé qu'en l'absence d'une disposition légale expresse, il n'était pas habilité à modifier la décision attaquée au détriment du recourant (v. arrêts BO 2004.0001 du 15 juillet 2004 ; BO 2003.0112 du 14 juillet 2004 ; BO 2000.0183 du 17 février 2001). On déduit ensuite du revenu les charges normales ; elles s’élèvent à 2’500 fr. pour un parent, auxquels s'ajoutent 800 fr. par enfant majeur à charge (art. 8 al. 2 RAE). En l'espèce, celles-ci s'élèvent donc à 4'100 fr. (2'500 fr. + 800 fr. + 800 fr.). Par rapport à ce chiffre, l'excédent de revenu dont dispose la famille est de 180 fr. (4’280– 4'100), qu’il convient de répartir à raison d’une part par parent et de deux parts pour chaque enfant en formation (art. 11 RAE) ; cet excédent permet ainsi d'affecter aux frais d'études du recourant la somme annuelle de 864 fr. (12 x 180 :5 x 2). S’agissant des frais d’études annuels, ils ont été pris en considération par l’autorité intimée à concurrence de 14'570 fr. Le recourant soutient qu’ils s’élèveraient à 15'750 fr. par an. Concernant d’abord les taxes scolaires et les fournitures, leur montant s’élèverait à 1'060 fr. par an pour les taxes et à 600 fr. par an pour les fournitures. L’autorité intimée a retenu un montant supérieur (2'570 fr.), mais il convient de ne pas s’écarter des chiffres indiqués par le recourant. S’agissant des frais de déplacement, le recourant indique le prix de son abonnement général. Pourtant, l’abonnement général n’est pas justifié ; en effet, le recourant loue une chambre afin de ne pas devoir rentrer tous les soirs au domicile de sa mère à 1********. Il convient ainsi de se référer au barème du Conseil d’Etat qui retient un montant de 1'200 fr. pour les transports urbains et chemins de fer (distance moyenne). S’agissant des frais de chambre et de pension, l’autorité intimée a retenu un montant de 10'800 fr. La participation aux frais de repas se monte au maximum à 450 fr. par mois pendant dix mois et la participation au loyer d’une chambre peut s’élever également jusqu’à 450 fr. par mois pour dix mois (cf. art. 12 al. 3 RAE et barème du Conseil d’Etat). Le tribunal retient donc un montant de 9’000 fr. à ce titre. Les frais d’études annuels doivent donc être définis comme suit : -   taxes scolaires et fournitures :          1'660 fr. -   déplacements :                                  1'200 fr. -   frais de chambre et de pension :       9'000 fr. Total : 11'860 fr. En conséquence, le montant de la bourse à allouer doit être arrêté à 10’996 fr. (11'860 – 864).</w:t>
      </w:r>
    </w:p>
    <w:p>
      <w:r>
        <w:rPr>
          <w:b/>
        </w:rPr>
        <w:t>E. 2</w:t>
      </w:r>
    </w:p>
    <w:p>
      <w:r>
        <w:t>Il résulte des considérants qui précèdent que le recours doit être partiellement admis et la décision attaquée réformée, en ce sens que le recourant a droit à une bourse de 10'996 fr. pour la période courant du 18 octobre 2004 au 18 octobre 2005. Vu le sort du recours, l’émolument de justice doit être laissé à la charge de l’Etat, l’avance effectuée par le recourant lui étant restituée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