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BO.2005.0038 vom 24. Juni 2005</w:t>
      </w:r>
    </w:p>
    <w:p>
      <w:r>
        <w:t>VD Tribunal cantonal, 2005-06-24, FR</w:t>
      </w:r>
    </w:p>
    <w:p>
      <w:r>
        <w:rPr>
          <w:b/>
        </w:rPr>
        <w:t xml:space="preserve">Quelle: </w:t>
      </w:r>
      <w:r>
        <w:t>https://mcp.opencaselaw.ch/entscheid/vd_omni_BO.2005.0038</w:t>
      </w:r>
    </w:p>
    <w:p>
      <w:r>
        <w:t>FR: VD_OMNI BO.2005.0038 du 24 juin 2005</w:t>
      </w:r>
    </w:p>
    <w:p>
      <w:r>
        <w:t>IT: VD_OMNI BO.2005.0038 del 24 giugno 2005</w:t>
      </w:r>
    </w:p>
    <w:p>
      <w:pPr>
        <w:pStyle w:val="Heading2"/>
      </w:pPr>
      <w:r>
        <w:t>Regeste</w:t>
      </w:r>
    </w:p>
    <w:p>
      <w:r>
        <w:t>X/Office cantonal des bourses d'études et d'apprentissage | Lorsque l'autorité se fonde sur la dernière déclaration d'impôt pour établir le revenu déterminant de la famille du requérant, elle doit s'en tenir au revenu net et ne peut reprendre les déductions justifiées comme les primes au 3ème pilier A et les frais d'entretien d'immeubles.</w:t>
      </w:r>
    </w:p>
    <w:p>
      <w:pPr>
        <w:pStyle w:val="Heading2"/>
      </w:pPr>
      <w:r>
        <w:t>Erwägungen</w:t>
      </w:r>
    </w:p>
    <w:p>
      <w:r>
        <w:rPr>
          <w:b/>
        </w:rPr>
        <w:t>E. 14</w:t>
      </w:r>
    </w:p>
    <w:p>
      <w:r>
        <w:t>al. 1 LAE. 2.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En l'occurrence, le litige a, pour l'essentiel, trait ici au revenu annuel imposable de la famille X.________. aa)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bb) Dans le cas d'espèce, l'autorité intimée s'est fondée à juste titre sur la taxation 2003 postnumerando des époux X.________. Cette décision cerne au plus près la situation de la famille, puisqu'elle a trait à l'année précédant celle durant laquelle l'octroi de l’aide est requis. Or, il appert en premier lieu que la situation de la famille X.________ s’est, par rapport à la période de taxation précédente (2001-2002bis) améliorée, puisqu'il en ressort que son revenu annuel imposable net est passé de 33'340 à 54’890 francs. Sans s’en expliquer toutefois, l’autorité intimée a pris en considération un revenu de 63'950 francs ; elle a repris au demeurant du revenu net imposable les déductions ayant trait au 3 ème pilier A (5'797 francs) et aux frais d’entretien d’immeubles privés (3'261 francs). Aucun élément ne permet toutefois de s'écarter du contenu de la déclaration 2003 et celle-ci doit permettre de déterminer le revenu familial à prendre en considération in casu (v. sur ce point, arrêt BO 2004.0028 du 1 er juillet 2004). On doit encore tenir compte de la part des salaires de D. X.________ et B. X.________ dépassant la franchise mensuelle de 500 francs, conformément aux directives adoptées par le Conseil d’Etat dans sa séance du 4 mars 1998, soit 12'202 francs. A cela s’ajoute, conformément à l’art. 10 al. 2 RAE « une part de la fortune des parents, déterminée par un barème du Conseil d'Etat ». Selon le barème actuellement en vigueur, il s’agit de la part de la fortune familiale dépassant le seuil de 80'000 francs pour les parents et 10'000 francs par enfant, soit en l’occurrence 11'000 francs, montant auquel un coefficient de pondération de 5% est applicable ; il y a donc lieu de prendre en considération un montant de 550 francs. La capacité financière de la famille X.________ est donc évaluée à  67’640 francs, montant arrondi à 67'600 francs conformément aux directives précitées (chiffre D), soit 5’600 francs par mois. cc) Ainsi, force est de constater que, contrairement à ce que retient la décision attaquée, le ménage X.________ couvre tout juste ses charges mensuelles minimales, arrêtées conformément à l’art. 8 RAE à 5'400 francs par mois. Dans ces conditions, la décision attaquée, qui alloue une bourse de 500 francs sur la base d’un calcul erroné, ne peut être maintenue. En effet, on voit que l’excédent de revenu dont dispose le ménage X.________ est de 200 francs seulement. La cause sera dès lors retournée à l’autorité intimée afin qu’elle détermine à nouveau la quotité de la bourse due à B. X.________, étant précisé que ce montant devra couvrir les frais de formation de cette dernière, et rende une nouvelle décision à cet effet. Son calcul devra en outre tenir compte de l’art. 2 al. 4 RAE, à teneur duquel : « Les demandes déposées en cours de formation sont traitées dès la date du dépôt au prorata des mois d'études encore à effectuer » , B. X.________, dont la demande a été déposée en janvier 2005 seulement, n’étant pas fondée à invoquer l’effet rétroactif de celle-ci (v. arrêts BO 2003.0027 du 18 août 2003 ; BO 1997.0037 du 22 août 1997). 3.                Les considérants qui précèdent conduisent par conséquent le tribunal à admettre le recours et à annuler la décision attaquée. Vu le sort réservé au recours,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