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BO.2004.0107 vom 24. November 2004</w:t>
      </w:r>
    </w:p>
    <w:p>
      <w:r>
        <w:t>VD Tribunal cantonal, 2004-11-24, FR</w:t>
      </w:r>
    </w:p>
    <w:p>
      <w:r>
        <w:rPr>
          <w:b/>
        </w:rPr>
        <w:t xml:space="preserve">Quelle: </w:t>
      </w:r>
      <w:r>
        <w:t>https://mcp.opencaselaw.ch/entscheid/vd_omni_BO.2004.0107</w:t>
      </w:r>
    </w:p>
    <w:p>
      <w:r>
        <w:t>FR: VD_OMNI BO.2004.0107 du 24 novembre 2004</w:t>
      </w:r>
    </w:p>
    <w:p>
      <w:r>
        <w:t>IT: VD_OMNI BO.2004.0107 del 24 novembre 2004</w:t>
      </w:r>
    </w:p>
    <w:p>
      <w:pPr>
        <w:pStyle w:val="Heading2"/>
      </w:pPr>
      <w:r>
        <w:t>Regeste</w:t>
      </w:r>
    </w:p>
    <w:p>
      <w:r>
        <w:t>c/Office cantonal des bourses d'études et d'apprentissage | L'art. 8 al. 2 RAE arrêtant les charges types d'un ménage déterminé, c'est en vain que la requérante fait valoir que sa famille est confrontée à des dépenses plus importantes.</w:t>
      </w:r>
    </w:p>
    <w:p>
      <w:pPr>
        <w:pStyle w:val="Heading2"/>
      </w:pPr>
      <w:r>
        <w:t>Erwägungen</w:t>
      </w:r>
    </w:p>
    <w:p>
      <w:r>
        <w:rPr>
          <w:b/>
        </w:rPr>
        <w:t>E. 11</w:t>
      </w:r>
    </w:p>
    <w:p>
      <w:r>
        <w:t>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 14 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b) Dans le cas d’espèce, la recourante fait valoir que la décision a été rendue au mois d’août déjà, alors qu’elle avait été invitée à fournir des pièces, telles les certificats de salaire pour la période courant jusqu’au 30 septembre 2004. On pourrait voir là, à première vue, une violation du droit d’être entendu. Toutefois, celle-ci ne pouvait avoir aucune incidence, dans la mesure où l’intéressée n’a entrepris une activité lucrative que dès le mois d’août 2003, de sorte qu’elle ne pouvait avoir accompli une période de dix-huit mois d’activité lucrative avant le début des études envisagées dès octobre 2004. Agée de moins de vingt-cinq ans, elle ne saurait donc être considérée comme financièrement indépendante au sens de l’art. 14 al. 2 LAE. L’autorité compétente doit dès lors examiner la situation financière de la famille de l’intéressée pour vérifier si les conditions d’octroi d’une bourse sont remplies. 3.                 a) Les critères pour déterminer la capacité financière des parents sont énumérés dans des prescriptions légales précises. L'art. 16 LAE, modifié les 22 mai 1979 et 27 février 1980, est libellé de la manière suivante :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ensuite que les charges sont calculées selon un barème des charges normales compte tenu de la composition de la famille, du nombre et de l'âge des enfants. Ce barème est établi et adapté périodiquement et approuvé par le Conseil d'Etat. Selon les art. 11 et 11a du règlement d'application de la LAE (RAE), qui précisent la portée de l'art. 18 LAE,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 Conseil d'Etat est compétent pour fixer le montant maximum de l'allocation complémentaire." Les principes qui guident le Conseil d'Etat lors de la fixation du barème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Le barème garantit l'égalité de traitement pour tous les requérants, quelle que soit leur situation familiale, vu qu'il tient compte des dépenses normales d'une famille telles qu'elles ont été admises lors de l'établissement du barème. Ainsi, les éléments à prendre en compte dans le calcul de l'allocation d'une bourse sont préétablis et ne peuvent être introduits au gré des circonstances particulières. Le soutien de l'Etat est accordé quand les charges, augmentées du coût des études du requérant, excèdent le revenu (art. 20 LAE). b)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c) aa) Dans le cas d’espèce, la recourante conteste essentiellement les charges prises en considération dans la décision de refus de bourse, en les confrontant avec les charges effectives de sa famille. On peut comprendre cette approche ; cependant, le but même du système légal consiste à assurer l’égalité de traitement entre les requérants, respectivement leur famille. En application de l’art. 8 al. 2 RAE, ces charges s’élèvent dans le cas présent à 3'900 francs (trois mille cent francs pour deux parents et 800 francs pour un enfant majeur). Le tribunal retient ici que le barème précité, pour schématique qu’il soit, permet mieux, dans la règle, d’assurer le respect du principe de l’égalité de traitement qu’une appréciation au cas par cas. On remarque en particulier que ce barème ne peut bien évidemment pas tenir compte de charges fiscales supérieures à la norme, puisque celles-ci sont dues précisément, s’agissant de la famille de la recourante, à une situation plus aisée que celle qui permet l’octroi d’une bourse. bb) La même remarque vaut enfin s’agissant des frais d’études eux-mêmes, pris en considération pour partie sur une base forfaitaire ; ceux-ci tiennent compte d’ailleurs des frais d’une chambre et d’une pension complète, frais que la recourante n’a en l’occurrence pas engagé. 4.                Vu les considérations qui précèdent, le recours doit être rejeté, cela aux frais de la recourante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