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BO.2003.0161 vom 30. Oktober 2003</w:t>
      </w:r>
    </w:p>
    <w:p>
      <w:r>
        <w:t>VD Tribunal cantonal, 2003-10-30, FR</w:t>
      </w:r>
    </w:p>
    <w:p>
      <w:r>
        <w:rPr>
          <w:b/>
        </w:rPr>
        <w:t xml:space="preserve">Quelle: </w:t>
      </w:r>
      <w:r>
        <w:t>https://mcp.opencaselaw.ch/entscheid/vd_omni_BO.2003.0161</w:t>
      </w:r>
    </w:p>
    <w:p>
      <w:r>
        <w:t>FR: VD_OMNI BO.2003.0161 du 30 octobre 2003</w:t>
      </w:r>
    </w:p>
    <w:p>
      <w:r>
        <w:t>IT: VD_OMNI BO.2003.0161 del 30 ottobre 2003</w:t>
      </w:r>
    </w:p>
    <w:p>
      <w:pPr>
        <w:pStyle w:val="Heading2"/>
      </w:pPr>
      <w:r>
        <w:t>Regeste</w:t>
      </w:r>
    </w:p>
    <w:p>
      <w:r>
        <w:t>c/ Office cantonal des bourses d'études et d'apprentissage | Confirmation du refus de l'Office d'accorder une bourse d'études en fonction des ressources financières de la famille.</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le recourant ne peut pas être considéré comme financièrement indépendant au sens de la LAE. Il a en effet toujours eu un statut d'étudiant. Après l'obtention de son diplôme de culture générale, le 2 juillet 1996, il a fréquenté l'Ecole technique de Sainte-Croix où il a obtenu un certificat fédéral de capacité d'informaticien le 30 juin 2001, puis l'EIVD où il a déjà accompli deux années de formation. Les gains accessoires qu'il a pu obtenir parallèlement à ses études ne peuvent être assimilés aux gains réguliers provenant d'une activité lucrative exercée à temps complet. En revanche, sa sœur A.________ a été considérée par l'Office comme requérante financièrement indépendante au sens de la loi. Dans cette hypothèse, la capacité financière de la famille n'est pas prise en considération. Cette différence de statut au regard de la LAE explique le traitement différent réservé par l'Office au recourant et à sa sœur.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Pour déterminer en l'espèce si une allocation de bourse se justifie et, dans l'affirmative, pour en fixer le montant, il convient au préalable d'arrêter les ressources de la famille du recourant. Selon les renseignements fournis par l'Office d'impôt de Cossonay-Ville le 24 octobre 2003, le revenu net de la mère du recourant, pour 2002, a été fixé à 92'700 fr. En l'absence des renseignements complémentaires requis auprès du recourant, il est difficile de déterminer si ce montant comprend ou non la pension alimentaire que le père du recourant versait à son ex-épouse avant de la payer directement en main de son fils. Dans le doute, le tribunal retiendra l'hypothèse la plus favorable au recourant et, contrairement à l'autorité intimée, n'ajoutera pas le montant de 7'200 fr. au revenu fiscal net. En outre, le tribunal fera également abstraction de la fortune de la mère du recourant, constituée d'une part de copropriété. Il n'est en effet pas établi que la fortune constituée puisse, par son mode d'investissement, supporter des prélèvements ne portant pas un préjudice sensible à l'activité économique de la famille (art. 16 ch. 2 let. b LAE). Le revenu annuel de 92'700 fr. représente 7'725 fr. par mois. Les charges de la famille, au sens de l'art. 8 du règlement d'application de la LAE (RAE) s'élèvent à 4'900 fr. (2'500 fr. pour un parent et 800 fr. par enfant majeur). Après déduction des charges, il reste un excédent de revenu de 2'825 fr. (7'725 - 4'900) qu'il convient de répartir entre les membres de la famille à raison d'une part pour la mère et de deux parts pour chacun des enfants en formation (art. 11 RAE). La part du recourant représente 807 fr. (2'825 x 2 : 7). Pour treize mois d'études, cette part correspond à 10'491 fr. C'est ce montant que la famille du recourant peut consacrer à ses frais d'études. Selon les calculs établis par l'Office, les frais d'études, pour la période considérée, s'élèvent à 7'774 fr. Ils ne tiennent pas compte des frais de logement du recourant, qui vit auprès de son amie. A juste titre. En effet, la prise en considération d'un logement séparé ne se justifie que si l'éloignement géographique entre le lieu de domicile et celui de l'accomplissement des études empêche un retour quotidien au domicile ou si de graves dissensions familiales, dûment attestées par des tiers autorisés, empêchent impérativement la vie commune. Or, en l'espèce, le retour quotidien d'Yverdon-les-Bains à B.________ est possible et le recourant a reconnu lui-même que son départ du domicile parental résultait d'un simple choix personnel. La part du revenu disponible afférente au recourant (10'491 fr.) étant supérieure aux frais de formation (7'774), aucune bourse ne peut être allouée. 5.                     La décision de l'Office du 30 octobre 2003 était justifiée et doit être maintenue. Le recours sera en conséquence rejeté. Vu le sort du recours, l'émolument doit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