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BO.2003.0112 vom 14. Juli 2004</w:t>
      </w:r>
    </w:p>
    <w:p>
      <w:r>
        <w:t>VD Tribunal cantonal, 2004-07-14, FR</w:t>
      </w:r>
    </w:p>
    <w:p>
      <w:r>
        <w:rPr>
          <w:b/>
        </w:rPr>
        <w:t xml:space="preserve">Quelle: </w:t>
      </w:r>
      <w:r>
        <w:t>https://mcp.opencaselaw.ch/entscheid/vd_omni_BO.2003.0112</w:t>
      </w:r>
    </w:p>
    <w:p>
      <w:r>
        <w:t>FR: VD_OMNI BO.2003.0112 du 14 juillet 2004</w:t>
      </w:r>
    </w:p>
    <w:p>
      <w:r>
        <w:t>IT: VD_OMNI BO.2003.0112 del 14 luglio 2004</w:t>
      </w:r>
    </w:p>
    <w:p>
      <w:pPr>
        <w:pStyle w:val="Heading2"/>
      </w:pPr>
      <w:r>
        <w:t>Regeste</w:t>
      </w:r>
    </w:p>
    <w:p>
      <w:r>
        <w:t>c/OCBEA | Ne s'est pas rendue indépendante la recourante qui a effectué plusieurs emplois temporaires pendant 14 des 18 mois précédant le début de sa formation. Bien que la capacité financière de la mère soit suffisante, la décision litigieuse accordant une bourse ne peut être annulée en vertu de l'interdiction de la ''reformatio in pejus''.</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Les frais d'études de la recourante établis par l'office s'élèvent à 3'950 francs (écolage, inscription: 200; manuels, matériel, outils : 1'000 fr.; déplacements : 550 fr.; repas de midi : 2'200 fr.). La recourante n'a pas contesté les montants retenus par l'office, qui sont d'ailleurs conformes aux art. 19 LAE et 12 RAE, ainsi qu'au barème.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ce revenu est de 65'000 fr. (mère de la recourante). Il convient encore d'ajouter à ce montant la part du salaire d'apprentie de la sœur de la recourante qui dépasse la franchise fixée par le barème (500 fr. par mois), à savoir 250 fr. [(750-500) x 12 = 3'000]. C'est donc un revenu mensuel de 5'665 fr. (68'000: 12) qu'il faut prendre en considération. On déduit ensuite du revenu les charges normales qui s'élèvent à 2'500 francs pour un parent, auxquelles s'ajoutent 700 fr. par enfant mineur à charge et 800 francs par enfant majeur à charge (art. 8 al. 2 RAE). En l'espèce, elles s'élèvent donc à 4'800 fr. (2'500 + 700 + 800 + 800). Compte tenu de ces charges, l'excédent de revenu familial est de 865 fr. par mois (5'665 - 4'800). Réparti en sept parts, dont deux pour la recourante (art. 11 RAE), cet excédent permet d'affecter aux frais d'études de cette dernière la somme annuelle de 2'965 fr. ({[865: 7] x 2} x 12 ). Les calculs effectués par l'office sont ainsi erronés (le Tribunal administratif a déjà jugé à de nombreuses reprises que l'excédent de ressources ne devait pas être pris en compte seulement durant les mois d'études, l'art. 12 al. 3 RAE concernant exclusivement les frais d'études; v. arrêt BO 1998/0122 du 26 février 1999). Dès lors, c'est une bourse de 985 fr. (3'950 – 2'965) qui aurait dû être allouée à A.________ au lieu de 1'280 fr. 6.                     L''interdiction de la "reformatio in pejus" fait toutefois obstacle à l'annulation de la décision reconnaissant à A.________ le droit à une bourse annuelle de 1'280 francs; le Tribunal administratif a en effet régulièrement jugé qu'en l'absence d'une disposition légale expresse, il n'était pas habilité à modifier la décision attaquée au détriment du recourant (arrêt GE 1994/117 du 23 mai 1997; PS 1995/0243 du 7 décembre 1995 et la jurisprudence citée). 7.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