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BO.2003.0100 vom 27. Februar 2004</w:t>
      </w:r>
    </w:p>
    <w:p>
      <w:r>
        <w:t>VD Tribunal cantonal, 2004-02-27, FR</w:t>
      </w:r>
    </w:p>
    <w:p>
      <w:r>
        <w:rPr>
          <w:b/>
        </w:rPr>
        <w:t xml:space="preserve">Quelle: </w:t>
      </w:r>
      <w:r>
        <w:t>https://mcp.opencaselaw.ch/entscheid/vd_omni_BO.2003.0100</w:t>
      </w:r>
    </w:p>
    <w:p>
      <w:r>
        <w:t>FR: VD_OMNI BO.2003.0100 du 27 février 2004</w:t>
      </w:r>
    </w:p>
    <w:p>
      <w:r>
        <w:t>IT: VD_OMNI BO.2003.0100 del 27 febbraio 2004</w:t>
      </w:r>
    </w:p>
    <w:p>
      <w:pPr>
        <w:pStyle w:val="Heading2"/>
      </w:pPr>
      <w:r>
        <w:t>Regeste</w:t>
      </w:r>
    </w:p>
    <w:p>
      <w:r>
        <w:t>c/OCBEA | Aucune aide de l'Etat ne peut être accordée à celui qui suit une formation de dessinateur en bandes dessinées à l'EPAC, à Saxon, alors que l'ERACOM à Lausanne offre une formation similaire.</w:t>
      </w:r>
    </w:p>
    <w:p>
      <w:pPr>
        <w:pStyle w:val="Heading2"/>
      </w:pPr>
      <w:r>
        <w:t>Erwägungen</w:t>
      </w:r>
    </w:p>
    <w:p>
      <w:r>
        <w:rPr>
          <w:b/>
        </w:rPr>
        <w:t>E. 18</w:t>
      </w:r>
    </w:p>
    <w:p>
      <w:r>
        <w:t>décembre 1989 sur la juridiction et la procédure administratives (LJPA). Il y a donc lieu d'entrer en matière sur le fond. 2.                     L'Etat encourage financièrement l'apprentissage et la poursuite des études après le terme de l'obligation scolaire (art. 1 de la loi du 11 septembre 1973 sur l'aide aux études et à la formation professionnelle, ci-après : LAE). Le soutien de l'Etat est destiné à compléter celui de la famille, au besoin à y suppléer. Il doit être suffisant pour supprimer tout obstacle financier à la poursuite des études et à la formation professionnelle (art. 2 LAE). Toute personne remplissant les conditions fixées par la loi a droit au soutien financier de l'Etat si elle en fait la demande (art. 4 al. 1 LAE). Ainsi, le soutien financier de l'Etat est octroyé lorsqu'il est nécessaire aux étudiants et élèves fréquentant, dans le canton de Vaud, les écoles publiques ou reconnues d'utilité publique qui préparent aux baccalauréats, certificats de maturité et diplômes de culture générale, titres et professions universitaires, professions de l'enseignement, professions artistiques, professions sociales, professions paramédicales et hospitalières ou aux professions de l'agriculture (art. 6 al. 1 ch. 1 LAE). Exceptionnellement il peut l'être aux élèves fréquentant des écoles privées, si des raisons impérieuses les empêchent de fréquenter les écoles publiques ou reconnues (art. 6 al. 1 ch. 4 LAE). Sont considérées comme raisons impérieuses, la nécessité d'un rattrapage scolaire pour des causes indépendantes de la volonté et des capacités du requérant, si ce rattrapage ne peut se faire dans une école publique reconnue (art. 4 al. 1 lit. a du règlement d'application de la LAE, ci-après : RAE), ou l'état de santé du requérant, qui rend temporairement ou définitivement impossible la fréquentation de l'école publique ou reconnue que ses capacités intellectuelles lui permettraient de suivre (art. 4 al. 1 lit. b RAE). En l'espèce, il n'est pas contesté que l'EPAC est une école privée. B. X.________ n'invoque pas de difficultés liées à son état de santé et ne peut se prévaloir de la nécessité d'un rattrapage scolaire. Il ne remplit donc aucune des conditions énumérées à l'art. 4 RAE. En outre, le tribunal de céans a déjà eu l'occasion de se prononcer sur des demandes de bourse en vue de fréquenter l'EPAC en section "bande dessinée". Après avoir recueilli l'avis des directeurs de l'ECAL et de l'Ecole romande d'arts graphiques (ERAG, devenue entre-temps ERACOM), le tribunal avait constaté qu'une formation correspondant à celle obtenue à l'EPAC pouvait être obtenue auprès de l'ERAG, le domaine de la bande dessinée pouvant de plus faire l'objet d'une spécialisation ultérieure aux beaux-arts (arrêt BO 00/0116 du 5 mars 2001, confirmé par arrêt BO 2001/0122 du 28 mars 2002). Il va de même à l'ERACOM. On ne peut ainsi pas suivre le recourant lorsqu'il soutient que le canton de Vaud ne dispose pas d'école appropriée pour obtenir le titre de formation que vise son fils. Enfin, peu importe que d'autres cantons accordent des bourses à leurs ressortissants pour l'EPAC ou que cette dernière délivre un titre reconnu à l'échelon européen. Ce sont là des critères que la loi ne prend pas en considération. Partant, le recours est mal fondé et doit être rejeté. 3.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