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BO.2002.0073 vom 18. Februar 2004</w:t>
      </w:r>
    </w:p>
    <w:p>
      <w:r>
        <w:t>VD Tribunal cantonal, 2004-02-18, FR</w:t>
      </w:r>
    </w:p>
    <w:p>
      <w:r>
        <w:rPr>
          <w:b/>
        </w:rPr>
        <w:t xml:space="preserve">Quelle: </w:t>
      </w:r>
      <w:r>
        <w:t>https://mcp.opencaselaw.ch/entscheid/vd_omni_BO.2002.0073</w:t>
      </w:r>
    </w:p>
    <w:p>
      <w:r>
        <w:t>FR: VD_OMNI BO.2002.0073 du 18 février 2004</w:t>
      </w:r>
    </w:p>
    <w:p>
      <w:r>
        <w:t>IT: VD_OMNI BO.2002.0073 del 18 febbraio 2004</w:t>
      </w:r>
    </w:p>
    <w:p>
      <w:pPr>
        <w:pStyle w:val="Heading2"/>
      </w:pPr>
      <w:r>
        <w:t>Regeste</w:t>
      </w:r>
    </w:p>
    <w:p>
      <w:r>
        <w:t>c/OCBEA | Refus d'une bourse pour des études cinématographiques à l'Institut national supérieur des arts du spectacle et des techniques de diffusion (INSAS), à Bruxelles: une formation correspondante peut être obtenue dans le canton de Vaud.</w:t>
      </w:r>
    </w:p>
    <w:p>
      <w:pPr>
        <w:pStyle w:val="Heading2"/>
      </w:pPr>
      <w:r>
        <w:t>Erwägungen</w:t>
      </w:r>
    </w:p>
    <w:p>
      <w:r>
        <w:rPr>
          <w:b/>
        </w:rPr>
        <w:t>E. 18</w:t>
      </w:r>
    </w:p>
    <w:p>
      <w:r>
        <w:t>mai 2000). Le recourant ne fait valoir aucun argument spécifique concernant le choix de l'INSAS plutôt que l'Ecole cantonale d'art de Lausanne - qu'il n'évoque même pas - pour suivre une formation dans le domaine cinématographique. Force est d'admettre que le recourant a choisi l'INSAS pour des raisons de pure convenance personnelle. 3.                     La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l'espèce, la formation adoptée par le recourant dans le domaine de la réalisation cinématographique ne s'inscrit pas dans le prolongement de la formation professionnelle choisie initialement, à savoir le théâtre. C'est donc à juste titre que l'office n'a pas fait application de l'art. 6 ch. 5 LAE. 4.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 de la part de l'Etat pour sa première formation. Or tel est bien le cas du recourant, qui a bénéficié d'une bourse pour des études universitaires inachevées, remplacées par une formation dans le théâtre. Le recourant ayant déjà bénéficié d'une bourse, la loi exclut donc par principe l'octroi d'une nouvelle aide à fonds perdus; à cet égard, le texte parfaitement clair de l'art. 6 ch. 6 al. 2 LAE ne laisse aucun pouvoir d'appréciation à l'office (voir arrêt BO 1997/0073 du 17 novembre 1997). En outre, un prêt ne peut être accordé au recourant, qui a choisi de suivre sa formation dans le domaine cinématographique en Belgique et non auprès de l'Ecole cantonale d'art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