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BO.2001.0177 vom 29. April 2002</w:t>
      </w:r>
    </w:p>
    <w:p>
      <w:r>
        <w:t>VD Tribunal cantonal, 2002-04-29, FR</w:t>
      </w:r>
    </w:p>
    <w:p>
      <w:r>
        <w:rPr>
          <w:b/>
        </w:rPr>
        <w:t xml:space="preserve">Quelle: </w:t>
      </w:r>
      <w:r>
        <w:t>https://mcp.opencaselaw.ch/entscheid/vd_omni_BO.2001.0177</w:t>
      </w:r>
    </w:p>
    <w:p>
      <w:r>
        <w:t>FR: VD_OMNI BO.2001.0177 du 29 avril 2002</w:t>
      </w:r>
    </w:p>
    <w:p>
      <w:r>
        <w:t>IT: VD_OMNI BO.2001.0177 del 29 aprile 2002</w:t>
      </w:r>
    </w:p>
    <w:p>
      <w:pPr>
        <w:pStyle w:val="Heading2"/>
      </w:pPr>
      <w:r>
        <w:t>Regeste</w:t>
      </w:r>
    </w:p>
    <w:p>
      <w:r>
        <w:t>c/OCBEA | On ne peut pas exiger de la recourante qu'elle effectue des prélèvements sur une part successorale représentée par l'attribution de 37,5 % de la propriété d'un immeuble.</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Dans ces deux cas, si les parents du requérant, ou le requérant lui-même, possèdent une fortune importante, le soutien de l'Etat pourra consister partiellement ou totalement en un prêt (art. 14 al. 3 LAE). L'art. 7a al. 1 du règlement d'application de la LAE (RAE) précise qu'une aide accordée à un requérant financièrement indépendant peut être constituée pour partie en prêt en fonction de la fortune familiale (fortune des parents/père et mère et du conjoint) selon barème du Conseil d'Etat. 3.                     En l'espèce, l'office a reconnu l'indépendance financière de la recourante, au sens de la LAE. Il a toutefois pris en considération la fortune nette du couple X.________ pour calculer le montant de la bourse qui lui a été accordée. 4.                     L'art. 16 ch. 2 litt. b LAE précise que pour l'évaluation de la capacité financière, il y a lieu de prendre en considération : "la fortune, dans la mesure où elle dépasse le but d'une juste prévoyance, si, par son mode d'investissement, le capital peut supporter, en faveur du requérant, des prélèvements qui ne portent pas un préjudice sensible à l'activité économique de la famille". A la suite du décès de A.________, son épouse et ses enfants sont demeurés en indivision pendant près de quinze ans. Durant cette période, la recourante a disposé d'une part indivise de 37,5 % de la propriété sise à Z.________. Sa mère a supporté seule la charge fiscale y relative jusqu'en 2001. Cette année-là, elle a procédé avec ses enfants à un partage de l'actif successoral, ce qui a eu pour conséquence d'augmenter à 92'000 fr. le montant de la fortune imposable du couple X.________. Pour autant, cette augmentation de fortune est de nature théorique. Dans les faits, il n'y a pas eu de changement, puisque l'immeuble appartient toujours à l'hoirie de feu A.________ et que la recourante y habite, de même qu'apparemment sa mère. 5.                     L'immeuble de Z.________ est hypothéqué à hauteur de 360'000 fr. dont les 37,5 % représentent 135'000 fr. Cette somme a été portée à l'état des dettes par le couple X.________. Cela étant, il est plus que douteux que la recourante et son mari, dont les revenus sont modestes, puissent obtenir une augmentation de l'hypothèque pour financer des études : d'une part, l'assurance Winterthur, qui a accordé la dite hypothèque la refuserait, précisément au vu des moyens financiers limités du couple X.________. Au surplus, une telle opération nécessiterait forcément l'accord de la mère et du frère de la recourante, qui pourraient bien le refuser par souci de ne pas augmenter leur propre engagement hypothécaire du fait de leur responsabilité solidaire. Au vu de ce qui précède, il convient d'admettre que la recourante ne peut pas effectuer des prélèvements sur la part successorale qui lui a été attribuée en 2001 de sorte que le capital qui lui a été attribué ne doit pas être pris en considération pour l'évaluation de sa capacité financière, au sens de l'art. 16 LAE. 6.                     La situation aurait été toute différente si, simultanément au partage, les héritiers de feu A.________ avaient constitué une propriété par étages; dans cette hypothèse, la recourante aurait alors été inscrite au Registre foncier comme propriétaire individuelle et exclusive d'une partie de l'immeuble de Z.________. On aurait pu alors attendre d'elle qu'elle entreprenne des démarches pour tenter d'obtenir un complément de la charge hypothécaire, tout en rappelant les réserves formulées à ce sujet sous chiffre 5 ci-dessus. 7.                     En définitive, la décision entreprise doit être annulée et le recours admis en ce sens que la recourante a droit à une bourse annuelle d'un montant de 16'800 fr. et pour l'année académique 2001/2002. De ce montant, il y aura lieu de déduire bien entendu le montant de 3'200 fr. qui lui a été versé le 12 décembre 2001, et le cas échéant, ce deuxième acompte de même montant qui devait être payé le 2 avril 2002. 8.                     Vu le sort du recours, le présent arrêt sera rendu sans frais, l'avance effectuée par la recourante lui étant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