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AF.2021.0002 vom 10. Dezember 2021</w:t>
      </w:r>
    </w:p>
    <w:p>
      <w:r>
        <w:t>VD Tribunal cantonal, 2021-12-10, FR</w:t>
      </w:r>
    </w:p>
    <w:p>
      <w:r>
        <w:rPr>
          <w:b/>
        </w:rPr>
        <w:t xml:space="preserve">Quelle: </w:t>
      </w:r>
      <w:r>
        <w:t>https://mcp.opencaselaw.ch/entscheid/vd_omni_AF.2021.0002</w:t>
      </w:r>
    </w:p>
    <w:p>
      <w:r>
        <w:t>FR: VD_OMNI AF.2021.0002 du 10 décembre 2021</w:t>
      </w:r>
    </w:p>
    <w:p>
      <w:r>
        <w:t>IT: VD_OMNI AF.2021.0002 del 10 dicembre 2021</w:t>
      </w:r>
    </w:p>
    <w:p>
      <w:pPr>
        <w:pStyle w:val="Heading2"/>
      </w:pPr>
      <w:r>
        <w:t>Regeste</w:t>
      </w:r>
    </w:p>
    <w:p>
      <w:r>
        <w:t>A.________ /Commission de classification du Syndicat d'améliorations foncières, Comité de direction du SAF de Bussigny-Ouest, Municipalité de Bussigny, Direction générale du territoire et du logement | Recours déposé contre une décision de la Commission de classification d'un syndicat d'améliorations foncières. Motivation de la décision sommaire mais suffisante (consid. 2b/aa). Examen des griefs du recourant (consid.2b/bb): - irrecevabilité du grief relatif au nouvel état, celui-ci étant définitivement entré en force; - rejet, pour autant que recevable, du grief tenant au fait les équipements prévus n'ont pas été entièrement réalisés, dès lors qu'une convention fixe toutes les conditions imposées au syndicat et à la municipalité dans ce cadre; - irrecevabilité de la demande de publication des comptes du syndicat, le grief étant dépourvu de motivation; - irrecevabilité du grief tenant à la répartion des frais d'équipement. Refus d'audience sur la base d'une appréciation anticipée des preuves (consid.3).</w:t>
      </w:r>
    </w:p>
    <w:p>
      <w:pPr>
        <w:pStyle w:val="Heading2"/>
      </w:pPr>
      <w:r>
        <w:t>Erwägungen</w:t>
      </w:r>
    </w:p>
    <w:p>
      <w:r>
        <w:rPr>
          <w:b/>
        </w:rPr>
        <w:t>E. 1</w:t>
      </w:r>
    </w:p>
    <w:p>
      <w:r>
        <w:t>La procédure de remaniement parcellaire se caractérise par une succession d'opérations soumises à enquêtes publiques, dans un ordre énuméré à l'art. 63 al. 1 loi du 29 novembre 1961 sur les améliorations foncières (LAF; BLV 913.11). Le résultat de chacune de s phases de la procédure de remaniement peut être attaqué par la voie de l'opposition auprès de la commission de classification (art. 99, 100 et 101 LAF), puis du recours au Tribunal cantonal (art. 92 de la loi vaudoise du 28 octobre 2008 sur la procédure administrative [LPA-VD; BLV 173.36]). En l'espèce, la décision entreprise a été rendue par la Commission de classification du Syndicat d'améliorations foncières de Bussigny-Ouest le 11 mars 2021. Elle a pour objet le rejet d'une réclamation formulée le 4 novembre 2020 par le recourant dans le cadre l'enquête publique qui s'est déroulée du 5 octobre du 5 novembre 2020 et qui portait sur la répartition finale des frais, le plan des ouvrages exécutés collectifs et privés ainsi que le dossier d'adaptation des servitudes résultant de l'exécution des travaux et soultes complémentaires. Le recourant, qui a participé à la procédure d'enquête publique au travers d'une réclamation écrite et motivée, dispose d'un intérêt digne de protection pour contester la décision attaquée. Le recours a été déposé en temps utile. Il y a lieu d'examiner les autres conditions de recevabilité.</w:t>
      </w:r>
    </w:p>
    <w:p>
      <w:r>
        <w:rPr>
          <w:b/>
        </w:rPr>
        <w:t>E. 2</w:t>
      </w:r>
    </w:p>
    <w:p>
      <w:r>
        <w:t>" . Si on peut comprendre que le recourant pose la question du bien-fondé de la répartition des frais et de l'adoption d'un " plan des ouvrages exécutés ", alors que certains de ceux-ci ne sont pas encore réalisés, il apparaît cependant que la consultation du dossier mis à l'enquête lui aurait permis de comprendre cette particularité. Le recourant ne soutient par ailleurs pas que les termes de la convention ne garantiraient pas de manière suffisamment précise la réalisation des derniers ouvrages prévus et les modalités de leur financement. Le grief du recourant doit dès être rejeté pour autant qu'il soit recevable ce qui n'est pas sûr au vu de l'absence de motivation. Le recourant a demandé la publication des comptes du syndicat, mettant en cause leur véracité, notamment parce qu'ils porteraient sur des éléments non encore construits. Il a été répondu à cette critique dans le paragraphe précédent. Pour le reste, le recourant n'indique ni ce qui serait incorrect dans ces comptes ni sur quelles bases il demande leur publication. Informé par le juge instructeur qu'il pouvait consulter le dossier de la cause, le recourant n'a pas saisi cette possibilité. Il n'a non plus pas soutenu que l'autorité intimée lui avait refusé l'accès aux comptes litigieux. En définitive, le grief qui n'est pas suffisamment motivé et qui n'a aucunement été complété par le recourant malgré le délai imparti à cet effet par le juge instructeur doit être considéré comme irrecevable. Le recourant déplore enfin de devoir payer 17% de la facture des frais d'équipement alors qu'il ne détiendrait que 7% du nouvel état. Il n'indique toutefois aucunement sur quelle base il s'appuie pour affirmer que la participation aux frais d'équipement devrait être identique à la part détenue dans le cadre du nouvel état. C'est d'ailleurs une autre solution qui ressort à première vue de l'art. 44 al. 1 LAF, reproduit ci-après: "Les propriétaires participent aux frais, déduction faite des subventions, proportionnellement aux avantages procurés à leurs fonds par les travaux collectifs et géométriques, suivant le tableau dressé par la commission de classification. La commission de classification peut répartir d'une manière distincte les frais provoqués par des travaux réalisés sans subvention ou intéressant des parcelles ne donnant pas droit aux subventions". Le grief n'apparaît ainsi pas fondé. Il n'y a au demeurant pas lieu de l'examiner plus en détail dès lors qu'il n'est pas suffisamment motivé et n'a aucunement été complété par le recourant malgré le délai imparti à cet effet par le juge instructeur. Au surplus, la clé de répartition des frais a déjà été fixée de manière contraignante dans le cadre de l'enquête publique qui a eu lieu du 1 er octobre au 1 er novembre 2010. Le grief doit par conséquent être considéré comme irrecevable.</w:t>
      </w:r>
    </w:p>
    <w:p>
      <w:r>
        <w:rPr>
          <w:b/>
        </w:rPr>
        <w:t>E. 3</w:t>
      </w:r>
    </w:p>
    <w:p>
      <w:r>
        <w:t>Le recourant demande à pouvoir être entendu et à être confronté à l'autorité intimée. On comprend qu'il requiert une audience publique. a) La procédure devant la Cour de droit administratif et public du Tribunal cantonal est en principe écrite (art. 27 LPA-VD). Les art. 33 ss LPA-VD concrétisent dans la loi les garanties consacrées aux art. 29 al. 2 de la Constitution fédérale de la Confédération suisse du 18 avril 1999 (Cst.; RS 101) et 27 al. 2 de la Constitution du canton de Vaud du 14 avril 2003 (BLV 101.01; Bovay/Blanchard/Grisel Rapin, op. cit. , n. 2.1 ss ad art. 33). Le droit d 'être entendu découlant de l'art. 29 al. 2 Cst.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III 48 consid. 4.1.1).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140 I 68 consid. 9.6.1, 285 consid. 6.3.1, 134 I 140 consid. 5.3, 131 I 153 consid. 3, 130 II 425 consid. 2.1). b) En l’occurrence, le recourant s’est amplement exprimé par écrit. Le 5 juillet 2021, le juge instructeur a transmis au recourant les déterminations des autorités intimée et concernées et lui a imparti un délai pour se déterminer. Il a précisé que le recourant avait la possibilité, dans le même délai, de retirer son recours qui apparaissait d’emblée voué à l’échec. Le</w:t>
      </w:r>
    </w:p>
    <w:p>
      <w:r>
        <w:rPr>
          <w:b/>
        </w:rPr>
        <w:t>E. 4</w:t>
      </w:r>
    </w:p>
    <w:p>
      <w:r>
        <w:t>Il s'ensuit que le recours doit être rejeté, dans la mesure où il est recevable, ce qui entraîne la confirmation de la décision attaquée. Succombant, le recourant doit assumer un émolument judiciaire. Les autorités intimée et concernées n'ayant pas procédé par l'intermédiaire d'un mandataire professionnel, il n'y a pas lieu de leur allouer des dépens (cf. art. 49 et 55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