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AF.2021.0001 vom 1. Juli 2021</w:t>
      </w:r>
    </w:p>
    <w:p>
      <w:r>
        <w:t>VD Tribunal cantonal, 2021-07-01, FR</w:t>
      </w:r>
    </w:p>
    <w:p>
      <w:r>
        <w:rPr>
          <w:b/>
        </w:rPr>
        <w:t xml:space="preserve">Quelle: </w:t>
      </w:r>
      <w:r>
        <w:t>https://mcp.opencaselaw.ch/entscheid/vd_omni_AF.2021.0001</w:t>
      </w:r>
    </w:p>
    <w:p>
      <w:r>
        <w:t>FR: VD_OMNI AF.2021.0001 du 1 juillet 2021</w:t>
      </w:r>
    </w:p>
    <w:p>
      <w:r>
        <w:t>IT: VD_OMNI AF.2021.0001 del 1 luglio 2021</w:t>
      </w:r>
    </w:p>
    <w:p>
      <w:pPr>
        <w:pStyle w:val="Heading2"/>
      </w:pPr>
      <w:r>
        <w:t>Regeste</w:t>
      </w:r>
    </w:p>
    <w:p>
      <w:r>
        <w:t>Syndicat d'améliorations foncières des Monts-de-Pully/Département des institutions et du territoire | Rejet du recours dirigé contre la décision du Département de dissoudre un SAF. Les conditions de dissolution sont remplies puisque, d'une part, le SAF ne peut plus atteindre ses buts en raison de l'entrée en vigueur des modifications de la LAT du 1er mai 2014 et de la teneur actuelle du PDCn et que, d'autre part, les organes du recourant ne veulent pas procéder à sa liquidations (consid. 3). Il n'existe pas d'autres motifs qui devraient faire échec à cette dissolution, malgré le fait que les conditions légales en soient remplies. En particulier, la décision attaquée ne prive pas le recourant de la possibilité d'agir en justice pour faire valoir la créance en responsabilité dont il estime disposer à l'encontre de l'Etat, étant précisé que cette question relève de l'appréciation du juge civil. Les modalités de liquidation prévues par la décision sont en outre conformes aux dispositions légales pertinentes (consid. 4). Enfin, la décision attaquée n'est pas disproportionnée (consid. 5). Recours au TF rejeté (1C_494/2021 du 29 avril 2022).</w:t>
      </w:r>
    </w:p>
    <w:p>
      <w:pPr>
        <w:pStyle w:val="Heading2"/>
      </w:pPr>
      <w:r>
        <w:t>Erwägungen</w:t>
      </w:r>
    </w:p>
    <w:p>
      <w:r>
        <w:rPr>
          <w:b/>
        </w:rPr>
        <w:t>E. 1</w:t>
      </w:r>
    </w:p>
    <w:p>
      <w:r>
        <w:t>Un recours est ouvert auprès du Tribunal cantonal contre la décision querellée, prise en application de la loi du 29 novembre 1961 sur les améliorations foncières (LAF; BLV 913.11) qui ne prévoit pas de voie de recours spécifique (cf. art. 92 al. 1 de la loi du 28 octobre 2008 sur la procédure administrative [LPA-VD; BLV 173.36]). Le recours, déposé dans le délai de 30 jours – suspendu durant les féries (art. 96 al. 1 let. c LPA-VD) – par le SAF, directement touché par la décision, respecte en outre les conditions de forme (art. 77, 79, et 99 LPA-VD), de sorte qu'il y a lieu d'entrer en matière sur le fond.</w:t>
      </w:r>
    </w:p>
    <w:p>
      <w:r>
        <w:rPr>
          <w:b/>
        </w:rPr>
        <w:t>E. 2</w:t>
      </w:r>
    </w:p>
    <w:p>
      <w:r>
        <w:t>Les frais frustraires sont répartis exclusivement entre les propriétaires qui ont décidé la renonciation; la répartition se fait moitié par tête, moitié à raison de la surface.</w:t>
      </w:r>
    </w:p>
    <w:p>
      <w:r>
        <w:rPr>
          <w:b/>
        </w:rPr>
        <w:t>E. 3</w:t>
      </w:r>
    </w:p>
    <w:p>
      <w:r>
        <w:t>Dans un premier temps, il convient de déterminer si les conditions de dissolution du recourant sont réalisées. a) L'art. 28 des statuts du recourant recoupe les conditions fixées aux art. 49 et 50 LAF. Ces dispositions ne traitent cependant pas du cas où l'Etat ou la commune décide de la dissolution d'un syndicat d'amélioration foncière, mais seulement de ceux où ce sont les propriétaires – dans leur ensemble ou une majorité d'entre eux – qui y procèdent. La décision querellée ayant été rendue par le département cantonal compétent les dispositions précitées ne s'appliquent pas, et il convient de se référer à l'art. 51 LAF. Ce n'est d'ailleurs pas contesté par les parties. b) Il ressort du texte clair de l'art. 51 al. 1 LAF que l'autorité – cantonale ou communale – peut prononcer la dissolution d'office d'un syndicat d'améliorations foncières à deux conditions cumulatives. En premier lieu, le syndicat doit soit avoir atteint son but et rempli ses obligations, soit ne manifestement pas pouvoir y parvenir. En second lieu, les organes du syndicat ne doivent pas vouloir, ou pouvoir, pourvoir à sa dissolution. Le texte légal ne prévoit pas d'autres conditions, notamment quant à la situation patrimoniale du syndicat. c) En l'espèce, l'autorité intimée soutient que le recourant ne peut plus atteindre ses buts en raison de l'entrée en vigueur des modifications de la LAT du 1 er mai 2014 et de la teneur actuelle du PDCn. Cela ne paraît pas être contesté par le recourant lui-même (cf. recours p. 5). Toutefois, dans la mesure où le principe de la dissolution est contesté, l'examen des conditions de base fixées par l'art. 51 LAF est nécessaire. Les buts du recourant sont définis à l'art. 3 de ses statuts. Il s’agit de la participation à l'élaboration du plan d'extension des Monts-de-Pully (let. a), le remaniement parcellaire en corrélation avec l'adoption d'une zone agricole liée à une zone à bâtir (let. b) et la construction des équipements agricoles et urbains (let. c). Aux termes de l'art. 15 al. 1 LAT, les zones à bâtir sont définies de telle manière qu’elles répondent aux besoins prévisibles pour les quinze années suivantes. Les zones à bâtir surdimensionnées doivent être réduites (al. 2). En outre, au sens de l'art. 15 al. 4 LAT, pour que de nouveaux terrains puissent être classés en zone à bâtir certaines conditions doivent être réunies: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et ils permettent de mettre en œuvre le plan directeur (let. e). En outre, l'art. 15 al. 3 LAT précise notamment qu'il faut maintenir les surfaces d'assolement. Le PDCn, en application de la LAT révisée, prévoit en outre la priorité du développement à l’intérieur du territoire urbanisé, soit le tissu urbain déjà largement bâti, avant la création de nouvelles zones à bâtir (ligne A1, mesure A11), ainsi que le renforcement de la protection des surfaces d’assolement. Les parcelles concernées par le SAF sont pour l'essentiel recensées comme surface d'assolement (voir à ce sujet les cartes sous la rubrique aménagement/surfaces d'assolement disponibles sur le guichet cartographique cantonal : https://www.geo.vd.ch). De plus, n'étant pas au bénéfice d'une collocation spécifique selon un plan déterminé, ces parcelles sont situées hors de la zone à bâtir et en dehors du périmètre compact du plan d'agglomération Lausanne-Morges (plan disponible sur le site internet cantonal : https://www.vd.ch/fileadmin/user_upload/themes/territoire/amenagement/Agglom%C3%A9rations/PALM_PDF.pdf; consulté le 9 juin 2021). Il apparaît également qu'elles sont sises, en tous les cas pour la plupart, hors du territoire urbanisé. L'éventuelle création d'une nouvelle zone à bâtir comprenant les biens-fonds concernés ne correspondrait donc pas aux critères fixés à l'art. 15 LAT et dans le PDCn. Certes, les buts du recourant portent notamment sur la création d'une telle zone, en lien avec une zone agricole (art. 3 let. b des statuts). Toutefois, même la création d'une zone à bâtir d'une surface limitée ne serait pas envisageable, en particulier en considérant que celle-ci affecterait très certainement les surfaces d'assolement, dont la préservation est consacrée à l'art. 15 al. 3 LAT. Quant aux buts figurant à l'art. 3 let. a et c des statuts, soit la participation à l'élaboration du plan d'extension et la création des infrastructures, ceux-ci n'ont de sens que si une zone à bâtir venait à être créée. En définitive, il n'est pas contestable qu'au vu de la réforme de la LAT ainsi que de la teneur actuelle du PDCn les objectifs statutaires du recourant ne pourront pas être atteints. Cela étant, le recourant expose qu'il estime avoir engagé depuis 2009 des frais inutilement, en se fondant sur les indications données par les services de l'Etat. Il compte ainsi agir en responsabilité contre l'Etat. Toutefois, à aucun moment, le recourant ne fait valoir que cette démarche s'inscrirait dans la réalisation des buts fixés à l'art. 3 de ses statuts, respectivement que son admission par le juge civil serait de nature à modifier l'appréciation des conditions de dissolution fixées par l'art. 51 LAF. Tel n'est en effet pas le cas, l'action judiciaire envisagée ne visant que la compensation d'un dommage que le recourant estime avoir subi en raison d'indications données par les représentants de l'Etat et non à permettre la réalisation des buts statutaires. Elle ne peut dès lors avoir d'impact sur la réalisation de la première condition énoncée par l'art. 51 al. 1 LAF. Au demeurant, comme évoqué précédemment cette disposition ne lie pas la réalisation des conditions de dissolution à un aspect financier. En particulier, la liquidation des créances et dettes appartient à la détermination du découvert ou du reliquat au sens de l’art. 51 al. 2 LAF. Il ressort de ce qui précède que les buts du recourant ne peuvent plus être accomplis. La première condition fixée par l'art. 51 al. 1 LAF est ainsi réalisée. d) Il est par ailleurs constant que les organes du recourant ne veulent pas procéder à sa dissolution, ce que le recours mentionne expressément. La seconde condition posée par l'art. 52 al. 2 LAF est donc également réalisée.</w:t>
      </w:r>
    </w:p>
    <w:p>
      <w:r>
        <w:rPr>
          <w:b/>
        </w:rPr>
        <w:t>E. 4</w:t>
      </w:r>
    </w:p>
    <w:p>
      <w:r>
        <w:t>Il convient ensuite d'examiner si d'autres motifs doivent faire échec à la dissolution du recourant, malgré le fait que les conditions légales en soient remplies. Comme déjà évoqué, à ce titre, le recourant fait valoir que la décision querellée le priverait de la possibilité d'agir en justice pour faire valoir la créance en responsabilité dont il estime disposer à l'encontre de l'Etat. L'autorité intimée se réfère à la réalisation des conditions légales de dissolution et soutient en outre que la responsabilité de l'Etat n'est pas engagée. a) Il convient tout d'abord de rappeler que la Cour de céans n'est pas compétente pour statuer sur l'éventuelle responsabilité de l'Etat dans le dommage que le recourant estime avoir subi. En effet, ces questions relèvent de l'appréciation du juge civil, en application de l'art. 14 de la loi du 16 mai 1961 sur la responsabilité de l'Etat, des communes et de leurs agents (LRECA; BLV 170.11) et non du juge administratif. Il n'y a dès lors pas lieu d'examiner les arguments développés à ce titre par l'autorité intimée dans ses écritures. b) aa) Selon l’art. 66 du Code de procédure civile du 19 décembre 2008 (CPC ; RS 272), la capacité d’être partie est subordonnée soit à la jouissance des droits civils, soit à la qualité de partie en vertu du droit fédéral. La capacité d’être partie représente ainsi le pendant procédural de la jouissance des droits civils. La locution désigne la faculté d’être titulaire des droits et des obligations qui résultent de l’instance. Elle requiert en principe la jouissance des droits civils dont elle est un aspect (CACI 16 juin 2020/240 consid. 4.1.1 et la référence citée). Dès qu’une personne morale acquiert la personnalité, elle jouit des droits civils (cf. art. 53 CC; Nicolas Jeandin, in Commentaire romand, Code de procédure civile, Bâle 2019 [ci-après : CR-CPC], n. 4 ad art. 66 CPC). Aux termes de l’art. 67 al. 1 CPC, l’exercice des droits civils confère la capacité d’ester en justice. Cet exercice est reconnu aux personnes morales dès qu’elles possèdent les organes que la loi et les statuts exigent à cet effet (cf. art. 54 CC). Dès cet instant elles disposent donc de la capacité d’ester en justice, qu’elles exerceront par l’entremise de leurs organes statutaires, désignés par le droit public fédéral ou cantonal s’agissant des personnes morales de droit public (art. 55 al. 1 CC ; Nicolas Jeandin, CR-CPC, n. 4 ad art. 67 CPC). Comme évoqué plus haut, un syndicat d’améliorations foncières, corporation de droit public cantonal, acquière la personnalité de droit public après adoption de ses statuts et désignation de ses organes (art. 26 al. 1 LAF). Ainsi, tant qu'un tel syndicat dispose de la personnalité, il est en mesure d’ester en justice. bb) L’art. 51 LAF ne précise pas à quel moment la dissolution d’un syndicat d'améliorations foncières entraîne la suppression de sa personnalité. Toutefois, au vu des conditions fixées par l’art. 26 al. 1 LAF pour l’acquisition de celle-ci, seule la suppression des organes du syndicat peut induire la perte de la personnalité, la décision prononçant la dissolution n'ayant a priori pas d'effet direct sur ce point. On peut rapprocher cette situation de celle de l'association (art. 60 ss CC), qui perd sa personnalité une fois la liquidation achevée et non lorsque son éventuelle inscription au Registre du commerce est radiée (arrêt TF 4A_576/2019 du 3 février 2020 consid. 6.2 et les références citées; il convient cependant de préciser que pour pouvoir ester en justice (art. 67 CPC), une association doit disposer d'une direction capable de la gérer et de la représenter conformément à l'art. 69 CC (arrêt TF 4A_347/2014 du 26 août 2014 consid. 4)). cc) En l’espèce, la décision dont est recours prévoit certes la dissolution du SAF mais également la mise en place d’une procédure de liquidation. Celle-ci vise à déterminer le reliquat éventuel, qui toujours selon la décision, devra être réparti au prorata des avances versées au syndicat par les propriétaires au titre de versements anticipés. L'autorité intimée n'a pas prévu dans sa décision que les organes du recourant soient supprimés; il revient d'ailleurs à l'assemblée générale de désigner les liquidateurs. Le recourant disposera donc d'organes fonctionnels et de représentants. Il apparaît dès lors qu'il conservera sa personnalité juridique, et donc sa capacité d'ester en justice, jusqu'à la fin du processus de liquidation. Sur ce point la décision litigieuse ne paraît donc pas mettre en péril les possibilités pour le recourant d'entreprendre la procédure dont il se prévaut. c) Il convient encore de déterminer si les modalités de liquidation prévues pourraient constituer un obstacle à l'exercice d'un droit en justice et donc un obstacle à la décision de dissolution. aa) Au sens de l'art. 51 al. 2 LAF, la décision doit statuer sur le sort du reliquat. L'autorité intimée y a procédé en déléguant cette tâche à des liquidateurs, la liquidation devant être achevée au plus tard le 30 juin 2022. Elle n'évoque cependant pas les bases légales sur lesquelles se fondent les modalités choisies pour la liquidation, mais relève, à juste titre, que ni la LAF ni son règlement d'application ne contiennent de dispositions précisant la procédure de dissolution d'un syndicat d'améliorations foncières. L'autorité intimée mentionne néanmoins que de tels syndicats sont organisés comme des associations, ce qui signifie qu'elle doit avoir appliqué les principes de liquidation relatives à ce type de personnes morales. Il importe en l'espèce toutefois peu de déterminer si le régime prévu par les art. 60 ss CC relatifs à l'association devrait être appliqué à titre de droit cantonal supplétif pour un syndicat d'améliorations foncières. En effet, le Code civil prévoit à son art. 58 des modalités de liquidation applicables à tout type de personnes morales, sans qu'elles soient spécifiques à l'association, soit également à un syndicat. Si les dispositions contraires sont réservées, notamment le droit public cantonal par l'art. 59 CC, il a déjà été constaté que celui-ci ne traite pas des modalités de liquidation du syndicat. En particulier, rien n’impose à l’autorité – cantonale ou communale – qui rend une décision en application de l’art. 51 LAF de procéder elle-même au calcul du reliquat ou du découvert. Les dispositions générales du Code civil sont dès lors applicables. L'art. 58 CC renvoie aux règles de liquidation de la société coopérative, soit à l'art. 913 du Code des obligations du 30 mars 1911 (CO; RS 220), qui renvoie lui-même à son alinéa 1 aux règles applicables à la société anonyme. Les autres modalités de l’art. 913 CO ne concernent que de la répartition de l'excédent, sujet traité pour le cas d’espèce par l'art. 51 al. 2 LAF. Les modalités de liquidation d'une société anonyme sont quant à elles traitées aux art. 739 ss CO. Il ressort en particulier de l'art. 739 al. 1 CO que la société anonyme en liquidation conserve sa personnalité et sa raison sociale aussi longtemps que la répartition entre les actionnaires n'est pas terminée. Le seul délai fixé par la loi est donc celui nécessaire à la liquidation du patrimoine et à la répartition des avoirs restant. bb) La désignation de liquidateurs est conforme aux dispositions rappelées ci-dessus. En outre, ceux-ci doivent être désignés par l'assemblée générale du recourant. Ils n'auront donc de compte à rendre qu'à celle-ci et non à l'autorité intimée ou à un autre service de l'Etat. Il n'est donc pas établi que cette modalité pourrait avoir une influence négative sur l'exercice en justice de l'action envisagée par le recourant. La possibilité réservée à l'autorité intimée de désigner les liquidateurs si l'assemblée générale du recourant n'y procédait pas ne saurait avoir plus de conséquence. En effet, elle ne vise qu'à pallier une éventuelle carence de l'organe normalement compétent. cc) La décision dont est recours indique que la liquidation doit être achevée au plus tard le 30 juin 2022. On peut s'interroger sur la nature du délai imparti par l'autorité intimée et en particulier sur la possibilité que son écoulement implique automatiquement l'achèvement du processus de liquidation. Comme évoqué plus haut, les dispositions légales applicables ne prévoient pas de limite temporelle au processus de liquidation et il n'apparaît pas que l'autorité intimée pourrait, de sa propre autorité, y déroger. Le délai fixé doit se comprendre dès lors comme un élément permettant le contrôle de l'avancement du processus, naturellement prolongeable si nécessaire, et donc sans effet sur la possibilité de faire valoir l'action en responsabilité dont se prévaut le recourant. dd) La publication du dispositif dans la Feuille des avis officiels n'a pas d’impact sur la possibilité du recourant d’ester en justice. d) Il résulte de ce qui précède que les modalités de liquidation prévues sont conformes aux dispositions légales pertinentes et que le processus n'est pas à soumis un délai impératif, ce qui permettra le cas échéant au recourant d'intervenir devant les tribunaux civils comme il le fait valoir. Le grief du recourant doit donc être rejeté.</w:t>
      </w:r>
    </w:p>
    <w:p>
      <w:r>
        <w:rPr>
          <w:b/>
        </w:rPr>
        <w:t>E. 5</w:t>
      </w:r>
    </w:p>
    <w:p>
      <w:r>
        <w:t>Le recourant soutient enfin que la décision est disproportionnée, respectivement que l’autorité intimée a abusé de son pouvoir d’appréciation. a) Il y a abus du pouvoir d'appréciation lorsqu'une 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143 III 140 consid. 4.1.3; 137 V 71 consid. 5.1; 123 V 150 consid. 2). b) Exprimé de manière générale à l'art. 5 al. 2 de la Constitution fédérale de la Confédération suisse du 18 avril 1999 (Cst. ; RS 101), le principe de la proportionnalité comporte traditionnellement trois aspects. Tout d'abord, la mesure restrictive doit être apte à produire les résultats escomptés (règle de l'aptitude). Ces derniers ne doivent ensuite pas pouvoir être atteints par une mesure moins incisive (règle de la nécessité). Le principe de la proportionnalité proscrit enfin toute restriction allant au-delà du but visé et exige un rapport raisonnable entre celui-ci et les intérêts publics ou privés compromis (principe de la proportionnalité au sens étroit, impliquant une pesée des intérêts en présence) (ATF 140 I 2 consid. 9.2.2; 139 I 180 consid. 2.6.1; 138 II 346 consid. 9.2; 137 I 167 consid. 3.6; 136 IV 97 consid. 5.2.2; 135 I 176 consid. 8.1). c) En l'espèce, les conditions fixées par l'art. 51 al. 1 LAF pour la dissolution du recourant sont réalisées. Au demeurant, les modalités de liquidation prévues ne mettent pas en péril la possibilité pour celui-ci d'agir en justice. Il n'apparaît dès lors pas que la décision rendue soit disproportionnée ou qu'elle consacre un abus du pouvoir d'appréciation. Ces griefs doivent également être rejetés.</w:t>
      </w:r>
    </w:p>
    <w:p>
      <w:r>
        <w:rPr>
          <w:b/>
        </w:rPr>
        <w:t>E. 6</w:t>
      </w:r>
    </w:p>
    <w:p>
      <w:r>
        <w:t>Les motifs qui précèdent entraînent le rejet du recours et la confirmation de la décision attaquée. Un émolument de justice sera mis à la charge du recourant qui succombe (art. 49 LPA-VD et 4 du tarif du 28 avril 2015 des frais et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