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AF.2015.0003 vom 6. Januar 2020</w:t>
      </w:r>
    </w:p>
    <w:p>
      <w:r>
        <w:t>VD Tribunal cantonal, 2020-01-06, FR</w:t>
      </w:r>
    </w:p>
    <w:p>
      <w:r>
        <w:rPr>
          <w:b/>
        </w:rPr>
        <w:t xml:space="preserve">Quelle: </w:t>
      </w:r>
      <w:r>
        <w:t>https://mcp.opencaselaw.ch/entscheid/vd_omni_AF.2015.0003</w:t>
      </w:r>
    </w:p>
    <w:p>
      <w:r>
        <w:t>FR: VD_OMNI AF.2015.0003 du 6 janvier 2020</w:t>
      </w:r>
    </w:p>
    <w:p>
      <w:r>
        <w:t>IT: VD_OMNI AF.2015.0003 del 6 gennaio 2020</w:t>
      </w:r>
    </w:p>
    <w:p>
      <w:pPr>
        <w:pStyle w:val="Heading2"/>
      </w:pPr>
      <w:r>
        <w:t>Regeste</w:t>
      </w:r>
    </w:p>
    <w:p>
      <w:r>
        <w:t>A.________ /Commission de classification du SAF de Sugnens, Commission de classification du SAF de Sugnens, Comité de direction du SAF de Sugnens, Direction générale de l'agriculture, de la viticulture | Dans la procédure de remaniement parcellaire, les enquêtes publiques successives, cas échéant après opposition puis recours, acquièrent force de chose jugée et ne peuvent plus être attaquées dans les phases suivantes de la procédure. Les limites de propriétés et les servitudes résultat de l'enquête sur le nouvel état peuvent toutefois être adaptées en fonction des ouvrages réalisés en cas de divergence entre le nouvel état mis à l'enquête et la situation sur le terrain après l'exécution des travaux collectifs.</w:t>
      </w:r>
    </w:p>
    <w:p>
      <w:pPr>
        <w:pStyle w:val="Heading2"/>
      </w:pPr>
      <w:r>
        <w:t>Erwägungen</w:t>
      </w:r>
    </w:p>
    <w:p>
      <w:r>
        <w:rPr>
          <w:b/>
        </w:rPr>
        <w:t>E. 1</w:t>
      </w:r>
    </w:p>
    <w:p>
      <w:r>
        <w:t>Sont soumis à l'enquête publique, en principe dans l'ordre suivant: a. le périmètre général de l'entreprise et les sous-périmètres; b. l'avant-projet des travaux collectifs et privés, les aires de colonisation éventuelles; c. l'estimation des immeubles et des valeurs passagères, la répartition des nouveaux immeubles et l'adaptation des servitudes et des autres droits, les contributions de plus-value spéciale, ainsi que le tableau des soultes; d. le projet d'exécution des travaux collectifs et privés; e. la répartition des frais d'exécution; f.   le plan des ouvrages exécutés, collectifs et privés; g. la répartition des frais d'entretien, lorsque celui-ci est assumé par un syndicat d'entretien.</w:t>
      </w:r>
    </w:p>
    <w:p>
      <w:r>
        <w:rPr>
          <w:b/>
        </w:rPr>
        <w:t>E. 2</w:t>
      </w:r>
    </w:p>
    <w:p>
      <w:r>
        <w:t>Dans toute la mesure du possible, plusieurs objets seront regroupés dans le cadre d'une même enquête.</w:t>
      </w:r>
    </w:p>
    <w:p>
      <w:r>
        <w:rPr>
          <w:b/>
        </w:rPr>
        <w:t>E. 3</w:t>
      </w:r>
    </w:p>
    <w:p>
      <w:r>
        <w:t>Les limites de propriétés et les servitudes sont susceptibles d'adaptation en fonction des ouvrages réalisés. Les modifications de surfaces provoquées par ces adaptations font l'objet d'une compensation en argent qui se traite à la valeur d'estimation. Ces soultes sont exigibles le jour du dépôt du dossier au registre foncier. L'alinéa 3 ci-dessus a été introduit en 1987 pour tenir compte des difficultés qui peuvent survenir en cas de divergence entre le nouvel état mis à l'enquête et la situation sur le terrain après l'exécution des travaux collectifs. L'exposé des motifs du Conseil d'Etat précise que cette disposition permet l'adaptation des limites et des servitudes après l'exécution des travaux mais qu'il ne doit s'agir que des adaptations directement liées aux modifications de l'ouvrage (BGC, printemps 1987, page 642). L'art. 54 du règlement d'application de la LAF (RLAF ; RSV 913.11.1) prévoit ce qui suit : Art. 54 - Modifications des limites et des servitudes résultant de l'exécution des travaux 1 Les modifications de surfaces, qui peuvent notamment provenir des changements aux limites ou aux servitudes suite à l'exécution des travaux, font l'objet d'un tableau des soultes complémentaires établi par la commission de classification. Les soultes sont calculées à la valeur moyenne de l'immeuble ou à la valeur d'estimation d'enquête et basées sur la différence entre la nouvelle et l'ancienne surface, la nouvelle pouvant être issue de la mensuration combinée aux travaux géométriques de remaniement parcellaire. La commission de classification envoie ce tableau à chaque propriétaire concerné en les invitant par lettre signature à faire part d'éventuelles observations dans les 30 jours. 2 Elle convoque les propriétaires qui ont formulé une observation, celle-ci devant être liquidée conformément à l'article 5. b) Les dispositions ci-dessus permettent de tenir compte des difficultés concrètes qui peuvent résulter de l'exécution des travaux collectifs. Elles sont distinctes des règles qui président à l'élaboration du nouvel état. Il n'est donc pas nécessaire en l'espèce d'élucider la portée qu'aurait pu avoir le "périmètre bleu" évoqué par le recourant, qui ne pourrait avoir d'effet que sur l'élaboration du nouvel état lors de l'enquête prévue par l'art. 63 al. 1 let. c LAF. En l'espèce, cette enquête a eu lieu en 2004 et elle est liquidée. c) Pour ce qui est de l'adaptation des limites mise à l'enquête en 2014 et traitée par la décision attaquée, l'examen des plans et du tableau des soultes complémentaires montre que les parcelles 3412 et 3417 ne subissent que d'infimes modifications (par exemple de 92 539 m² à 92 480 m² pour la parcelle 3417), principalement à l'emplacement des pattes d'oie au débouché des chemins qui les bordent. Quant à la parcelle 1252, la décision attaquée expose que la diminution de surface de cette parcelle est liée à l'adaptation de la limite le long de la route cantonale, le talus ayant été attribué au domaine public. Le recourant ne discute pas cette explication et ne soutient pas que les talus auraient dû demeurer à l'intérieur de sa parcelle. Enfin, le recourant se plaint d'une diminution de surfaces de 248 m² sur la parcelle 1252 mais il s'agit en réalité du fait que 248 m² de cette parcelle ont été cadastrés comme forêt, selon les directives de l'inspecteur forestier d'après ce qu'explique la commission de classification. Le recourant ne conteste pas cette cadastration comme forêt de ces 248 m². De fait, sur les photographies aériennes, disponibles sur le guichet cartographique cantonal, on constate que le boisé de la parcelle voisine 362 déborde sur la parcelle 1252. En définitive, ce n'est pas la décision de la commission de classification qui a fait pousser des arbres à cet endroit.</w:t>
      </w:r>
    </w:p>
    <w:p>
      <w:r>
        <w:rPr>
          <w:b/>
        </w:rPr>
        <w:t>E. 4</w:t>
      </w:r>
    </w:p>
    <w:p>
      <w:r>
        <w:t>Le recourant invoque encore le report de deux servitudes sur la parcelle 3417 mais il ressort de la décision attaquée, qui n'est pas contestée sur ce point, que ce report remonte à l'enquête sur le nouvel état de 2004, qui est entré en force.</w:t>
      </w:r>
    </w:p>
    <w:p>
      <w:r>
        <w:rPr>
          <w:b/>
        </w:rPr>
        <w:t>E. 5</w:t>
      </w:r>
    </w:p>
    <w:p>
      <w:r>
        <w:t>C'est en vain pour terminer que le recourant croit pouvoir, en invoquant un remaniement "globalement exécuté en sa défaveur", revenir sur le principe de la pleine compensation réelle, liquidée par l'enquête sur le nouvel état de 2004,</w:t>
      </w:r>
    </w:p>
    <w:p>
      <w:r>
        <w:rPr>
          <w:b/>
        </w:rPr>
        <w:t>E. 6</w:t>
      </w:r>
    </w:p>
    <w:p>
      <w:r>
        <w:t>Le tribunal renonce pour le surplus à revenir en détail sur les explications confuses et les pièces produites en vrac avec les observations complémentaires du recourant du 27 novembre 2015. Il en va de même de la pièce produite le 15 mars 2016: le recourant passe sous silence le fait qu'il a retiré l'opposition qu'il avait déposée lors de l'enquête de 2010 sur l'inscription du nouvel état au registre foncier.</w:t>
      </w:r>
    </w:p>
    <w:p>
      <w:r>
        <w:rPr>
          <w:b/>
        </w:rPr>
        <w:t>E. 7</w:t>
      </w:r>
    </w:p>
    <w:p>
      <w:r>
        <w:t>Vu ce qui précède, le recours est rejeté et la décision attaquée confirmée. Un émolument sera mis à la charge du recourant mais il peut être réduit pour tenir compte du fait que la cause a été liquidée sans audience.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