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AF.2012.0003 vom 27. Januar 2014</w:t>
      </w:r>
    </w:p>
    <w:p>
      <w:r>
        <w:t>VD Tribunal cantonal, 2014-01-27, FR</w:t>
      </w:r>
    </w:p>
    <w:p>
      <w:r>
        <w:rPr>
          <w:b/>
        </w:rPr>
        <w:t xml:space="preserve">Quelle: </w:t>
      </w:r>
      <w:r>
        <w:t>https://mcp.opencaselaw.ch/entscheid/vd_omni_AF.2012.0003</w:t>
      </w:r>
    </w:p>
    <w:p>
      <w:r>
        <w:t>FR: VD_OMNI AF.2012.0003 du 27 janvier 2014</w:t>
      </w:r>
    </w:p>
    <w:p>
      <w:r>
        <w:t>IT: VD_OMNI AF.2012.0003 del 27 gennaio 2014</w:t>
      </w:r>
    </w:p>
    <w:p>
      <w:pPr>
        <w:pStyle w:val="Heading2"/>
      </w:pPr>
      <w:r>
        <w:t>Regeste</w:t>
      </w:r>
    </w:p>
    <w:p>
      <w:r>
        <w:t>ECHENARD/COMMISSION DE CLASSIFICATION DU SAF DE LA ROUTE PRINCIPALE H144, COMITE DU SYNDICAT AF DE LA ROUTE PRINCIPALE H144, PERNET, BERTHOLET, CLEMENT, FAVROD, Secrétariat Comm. de classification Syndicat AF de la route H144, Service des routes, Service du développement territorial | Le tracé de la desserte forestière prévu par l'avant-projet des travaux collectifs est contesté par le recourant qui suggère un autre tracé. L'avant-projet des travaux collectifs est assimilé, par ses effets juridiques, à un plan d'affectation. Le pouvoir d'examen du tribunal est donc comparable à celui qu'il exerce en matière de plan d'affectation et qui s'étend à l'opportunité en vertu de l'art. 33 al. 3 let.b LAT. Même dans le cadre d'un libre pouvoir d'examen, l'autorité de recours doit préserver la liberté d'appréciation dont l'autorité de planification a besoin pour l'accomplissement de sa tâche. En particulier, l'autorité de recours n'est pas habilitée à lui substituer une autre solution qui serait également convenable. De plus, le contrôle de l'opportunité s'exerce avec retenue sur les points qui concernent principalement des intérêts locaux, ce qui est le cas de la desserte forestière en cause. Bien que la solution alternative présentée par le recourant apparaît tout à fait convenable, le tribunal n'est pas habilité à imposer à la Commission de classification une autre solution que celle qu'elle a retenue dans l'avant-projet des travaux collectifs, qui est également convenable.</w:t>
      </w:r>
    </w:p>
    <w:p>
      <w:pPr>
        <w:pStyle w:val="Heading2"/>
      </w:pPr>
      <w:r>
        <w:t>Erwägungen</w:t>
      </w:r>
    </w:p>
    <w:p>
      <w:r>
        <w:rPr>
          <w:b/>
        </w:rPr>
        <w:t>E. 1</w:t>
      </w:r>
    </w:p>
    <w:p>
      <w:r>
        <w:t>a) La jurisprudence fédérale a dégagé de la garantie de la propriété le principe de la compensation réelle - ou de l'équivalence - qui régit la confection du nouvel état de propriété dans le remaniement parcellaire. Selon ce principe, les propriétaires intéressés à une telle entreprise ont une prétention à recevoir dans la nouvelle répartition des terrains équivalents, en quantité et en qualité, à ce qu'ils ont cédé, pour autant, naturellement, que le but du remaniement et les nécessités techniques le permettent (ATF 101 Ia 227 consid. 3a; 99 Ia 495 consid. 3; 95 I 372 consid. 4 et les arrêts cités). S'agissant d'un remaniement agricole qui touche aux bases mêmes de l'existence d'une exploitation, l'autorité doit tenir compte non seulement de l'emplacement des terres, de leur nature et de leur qualité, mais aussi de l'organisation de l'entreprise et des ses particularités (ATF 95 I 524 consid. 4). Les autorités chargées de la confection du nouvel état doivent rechercher toutes les solutions objectivement concevables pour résoudre les difficultés techniques susceptibles de compromettre la mise en oeuvre du principe de la compensation réelle. Ce n'est que lorsqu'elle se heurte à des difficultés insurmontables, dans un cas particulier, qu'il y a lieu de résoudre le problème par le versement d'une indemnité en argent, qui doit être calculée non pas à la valeur d'échange adoptée pour la réalisation de l'ouvrage, mais à la valeur vénale car l’on se trouve en présence d'une restriction à la propriété équivalent à une expropriation (ATF 116 Ia 109 consid. 2; 105 Ia 327 consid. 2 d et les arrêts cités). b) L'art. 55 al. 1 de la loi du 29 novembre 1961 sur les améliorations foncières (LAF) reprend pour l'essentiel les exigences constitutionnelles précitées selon la formulation suivante : "a)   Chaque propriétaire peut recevoir, autant que possible, en échange des biens-fonds qu'il doit abandonner, des terrains de même nature et de même valeur. Si un propriétaire ne reçoit pas l'équivalent du terrain cédé, la différence en plus ou en moins est compensée par une soulte en argent. b)    Les terres doivent être regroupées d'une manière intensive. c)    Les nouveaux biens-fonds doivent, autant que possible, être de forme régulière et avoir accès à un chemin au moins. d)    Si, exceptionnellement, après remaniement parcellaire, un domaine subit une moins-value, la commission de classification offre à son propriétaire une compensation en terrain ou alloue à celui-ci une indemnité équitable en argent." La commission de classification doit ainsi veiller à une répartition équitable entre les membres du syndicat, dans la mesure du possible, des bénéfices et des risques de l'opération de remaniement : c'est là une exigence qui découle du principe constitutionnel de l'égalité de traitement. Ce principe, qui n'a en général qu'une portée relative en matière d'aménagement du territoire (ATF 116 Ia 195 consid. 3 b), a un poids plus important dans le domaine des améliorations foncières, où les investissements des collectivités publiques créent des plus-values substantielles (ATF 105 Ia 326 consid. 2 c; 95 I 524 consid. 4). Le droit à l'égalité est cependant relativisé en tant que, selon le cours ordinaire des choses, il est rarement possible d'assurer à chacun des propriétaires englobés dans le périmètre une participation proportionnellement identique à l'enrichissement collectif. S'il apparaît que la situation faite à un propriétaire dans le nouvel état n'est pas totalement insoutenable, mais qu'elle est pourtant clairement insatisfaisante, parce que les autorités cantonales ont omis des éléments essentiels lors de la confection du nouvel état (par exemple les particularités de l'exploitation) ou parce qu'elles ont négligé d'utiliser tous les moyens techniques à disposition pour améliorer cette situation, la décision doit alors être annulée (ATF 119 Ia 26 consid. 1 c). c) En l'espèce, le recourant Daniel Echenard, répertorié au chapitre 76 du remaniement parcellaire, est certainement l'un des propriétaires les plus touchés par la construction de la route H144. En effet, l'emprise de la route sur les parcelles 183 et 184 de l'ancien état a entraîné la démolition de son hangar, une perte importante de surfaces cultivables et des nuisances liées au trafic sur son habitation. Toutefois, l'attribution de la parcelle 552 du nouvel état au recourant a augmenté la surface agricole de 4'000 m</w:t>
      </w:r>
    </w:p>
    <w:p>
      <w:r>
        <w:rPr>
          <w:b/>
        </w:rPr>
        <w:t>E. 2</w:t>
      </w:r>
    </w:p>
    <w:p>
      <w:r>
        <w:t>par rapport à l'ancien état. Par ailleurs, dans un message e-mail du 24 mai 2012, le secrétariat de la Commission de classification avait informé le recourant des conditions auxquelles la parcelle 554 de M. Pernet pouvait lui être attribuée, à savoir: une convention d’échange écrite et signée par les deux propriétaires, un prix de vente conforme aux critères d’attribution au sein du syndicat donnant un prix de 62'367 fr. et enfin qu’aucune valeur passagère ne soit comptabilisée. Le recourant ne semble pas avoir donné suite à cette offre. Il apparaît en définitive que la décision de la Commission de classification pour l'attribution du nouvel état au recourant est strictement conforme à l'art. 55 LAF et les griefs du recourant concernant l’attribution du nouvel état apparaissent mal fondés, la décision de la Commission de classification étant ainsi maintenue.</w:t>
      </w:r>
    </w:p>
    <w:p>
      <w:r>
        <w:rPr>
          <w:b/>
        </w:rPr>
        <w:t>E. 3</w:t>
      </w:r>
    </w:p>
    <w:p>
      <w:r>
        <w:t>Le recourant demande le déplacement de la desserte forestière desservant les parcelles 545, 546 et 542 du nouvel état, en bordure de la forêt, le long de la nouvelle route H 144. a) Dans ses déterminations du 7 mars 2013, la Commission de classification relève que le déplacement de la desserte impliquerait une modification du nouvel état concernant le propriétaire de la parcelle 542, Laurent Brönnimann de Noville, qui avait déjà accepté, à trois reprises, une modification du nouvel état à la suite de nouvelles demandes du recourant. Or, le recourrant ne prétend pas avoir obtenu un tel accord de Laurent Brönnimann pour le déplacement de la desserte. La Commission de classification a encore précisé à la suite de l’audience que la question de la desserte forestière serait intégrée dans une enquête complémentaire du Service des routes. Interpellé sur ce point, le Service des routes a répondu, le 30 octobre 2013, que l’enquête complémentaire ne concernait que les défrichements complémentaires et les boisements compensatoires et ne portait donc pas sur la desserte forestière en cause. Il a précisé qu’il n’était pas compétent pour se prononcer sur la question de l’emplacement et du tracé de la desserte forestière, confirmant ainsi sa prise de position du 14 mars 2013 et s’en remettant sur cette question à l’avis donné par la Commission de classification le 7 mars 2013. b) La proposition du recourant concernant la desserte forestière tend à utiliser un chemin existant en bordure de lisière, situé plus particulièrement entre la lisière et le pieds du talus de la route H144. La proposition du recourant paraît à priori réalisable et éviterait la création d’une nouvelle desserte dans la forêt.  Toutefois, le pouvoir d’examen du tribunal, même s’il était étendu à l’opportunité, reste limité. La desserte forestière fait partie de l’enquête concernant la modification de l’avant-projet des travaux collectifs, lequel est assimilé, par ses effets juridiques, à un plan d’affectation (AF.2003.0008 du 24 juin 2004 consid. 1 b/aa ; RDAF 1991 p. 170, voir aussi l’arrêt AF.2009.0004 du 6 octobre 2010  consid. 2a). La jurisprudence relative à l’étendue du pouvoir d’examen du tribunal en matière de plan d’affectation est donc également applicable lorsqu’il s’agit, comme en l’espèce, de statuer sur un élément d’un avant-projet des travaux collectifs d’un syndicat d’améliorations foncières. Selon la jurisprudence, sous l'angle institutionnel, l'autorité de recours doit se limiter à sa fonction de contrôle, c'est-à-dire qu'elle ne peut créer quelque chose de nouveau, mais doit juger la planification communale d'après le développement souhaité (ATF 114 Ia 245 consid. 2b p. 247 = JdT 1990 I 462). Le rôle spécifique de l'autorité de recours ne se confond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(ATF 1C_365/2010 du 18 janvier 2011, consid. 2.3, non publié sur ce point aux ATF 137 II 23; arrêt; 1C_82/2008 du 28 mai 2008, consid. 6.1 non publié in ATF 134 II 117; ATF 127 II 238 consid. 3b/aa p. 242; et en dernier lieu: ATF 1C_447/2012 du 5 août 2013). c) En l’espèce, le tribunal constate que le tracé de la desserte forestière projetée par la Commission de planification paraît apte à remplir les fonctions qui lui sont dévolues, en desservent notamment les parcelles 542, 545 et 546. Sans doute, la solution proposée par le recourant semble également possible et apte à remplir les mêmes fonctions que le projet de desserte contesté par le fait que le recourant est propriétaire des deux parcelles 545 et 546, situées de part et d’autre du tracé contesté. Mais le choix du tracé de cette desserte concerne principalement des intérêts locaux pour lesquels le pouvoir d’examen du tribunal ne s’exerce qu’avec retenue. De plus, comme le tribunal ne peut substituer son pouvoir d’appréciation à celui de la Commission de classification,  il ne peut lui imposer une autre solution qui apparaît également convenable dans le choix du tracé de la nouvelle desserte forestière. Le grief du recourant doit ainsi être écarté.</w:t>
      </w:r>
    </w:p>
    <w:p>
      <w:r>
        <w:rPr>
          <w:b/>
        </w:rPr>
        <w:t>E. 4</w:t>
      </w:r>
    </w:p>
    <w:p>
      <w:r>
        <w:t>a) Le recourant a formulé une remarque dans son recours concernant le puits de la parcelle 324 du nouvel état dans les termes suivants : « Le puits de la parcelle 324 n’a jamais fait partie du chapitre 37 Bussien mais du chapitre 78, ex-parcelle Chuard ; puist que j’ai payé moi-même. » La Commission de classification s’est déterminée dans les termes suivants concernant ce grief : « (…) La Ccl s’étonne de voir apparaître cet élément dans son recours. En effet, M. Echnard a personnellement demandé que ce puits soit attribué au chapitre 37 dont il est locataire, ce qui a été fait et coordonné avec les mesures environnementales du Beau-Crêt (FF15). Il n’a en outre jamais évoqué le financement de ce puits, qu’il ne possède ni à l’ancien état, ni au nouvel état. (…) » b) Par la suite, le recourant n’a plus fait mention de ce grief, que ce soit  dans ses écritures complémentaires, ou lors de l’audience du 4 décembre 2012. Il apparaît en tous les cas que le motif mentionné dans l’opposition du 26 avril 2011 (souhait de garder en location la parcelle 324 à condition d’avoir la possibilité de la pâturer) a été examiné par la Commission de classification, qui a confirmé que la pâture de cet espace n’était pas interdite mais devait répondre à certaines règles précises qui avaient été présentées au recourant. Le tribunal considère donc que ce grief n’a plus d’objet et a été liquidé par la décision sur opposition du 31 mai 2012. c) Enfin, le recourant a soulevé encore différents points dans sa dernière écriture du 17 mars 2013. Toutefois, les sujets abordés (différents aspects de la négociation avec le Service des routes concernant les modalités de la prise en charge de la reconstruction du rural) ne sont pas en rapport avec la décision attaquée et ne font pas partie de l’objet du recours.</w:t>
      </w:r>
    </w:p>
    <w:p>
      <w:r>
        <w:rPr>
          <w:b/>
        </w:rPr>
        <w:t>E. 5</w:t>
      </w:r>
    </w:p>
    <w:p>
      <w:r>
        <w:t>Il résulte des considérants qui précèdent que le recours doit en définitive être rejeté et la décision de la Commission de classification maintenue. Au vu de ce résultat, un émolument de justice de 1'500 (mille cinq cents) francs sera mis à la charge du recourant en application de l'art. 49 al. 1 de la loi sur la procédure administrative du 28 octobre 2008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