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AF.2005.0005 vom 2. September 2008</w:t>
      </w:r>
    </w:p>
    <w:p>
      <w:r>
        <w:t>VD Tribunal cantonal, 2008-09-02, FR</w:t>
      </w:r>
    </w:p>
    <w:p>
      <w:r>
        <w:rPr>
          <w:b/>
        </w:rPr>
        <w:t xml:space="preserve">Quelle: </w:t>
      </w:r>
      <w:r>
        <w:t>https://mcp.opencaselaw.ch/entscheid/vd_omni_AF.2005.0005</w:t>
      </w:r>
    </w:p>
    <w:p>
      <w:r>
        <w:t>FR: VD_OMNI AF.2005.0005 du 2 septembre 2008</w:t>
      </w:r>
    </w:p>
    <w:p>
      <w:r>
        <w:t>IT: VD_OMNI AF.2005.0005 del 2 settembre 2008</w:t>
      </w:r>
    </w:p>
    <w:p>
      <w:pPr>
        <w:pStyle w:val="Heading2"/>
      </w:pPr>
      <w:r>
        <w:t>Regeste</w:t>
      </w:r>
    </w:p>
    <w:p>
      <w:r>
        <w:t>SI Montenailles SA/Assemblée générale du Syndicat d'améliorations foncières, Comité de direction du Syndicat AF Le Mont-sur-Lausanne, ccl du Syndicat AF Le Mont-sur-Lausanne, Municipalité du Mont-sur-Lausanne, Service du développement territorial | L'approbation du devis des travaux collectifs par l'assemblée générale, telle qu'elle est prévue par l'art. 30 al. 2 LAF, n'a qu'une portée limitée (le comité de direction obtient décharge pour l'adjudication). Ce sont les enquêtes (sur l'avant-projet puis sur le projet d'exécution des travaux collectifs) organisées par la commission de classification et les décisions de celle-ci sur les réclamations des propriétaires qui déterminent quels sont les travaux qu'entreprendra le syndicat. Quant à l'approbation "de principe" du devis que le syndicat intimé a jugé bon de soumettre à son assemblée générale en l'espèce, on peut se demander si elle remplit plus qu'un but (opportun) d'information.</w:t>
      </w:r>
    </w:p>
    <w:p>
      <w:pPr>
        <w:pStyle w:val="Heading2"/>
      </w:pPr>
      <w:r>
        <w:t>Erwägungen</w:t>
      </w:r>
    </w:p>
    <w:p>
      <w:r>
        <w:rPr>
          <w:b/>
        </w:rPr>
        <w:t>E. 1</w:t>
      </w:r>
    </w:p>
    <w:p>
      <w:r>
        <w:t>La recourante demande la tenue d'une audience publique. Il n'y pas lieu de donner suite à cette réquisition. En effet, selon la jurisprudence relative à l'art. 6 CEDH, l'obligation de tenir une audience publique n'est pas absolue, même dans les cas où est en cause une contestation sur un droit de nature civile. Une exception est admise lorsque le litige ne suscite aucune question de fait ou de droit qui ne pourrait pas être résolue de manière adéquate sur la base du dossier et des procédés écrits des parties. Compte tenu de la nécessité de liquider les causes dans un délai adéquat et pour des motifs d'économie de la procédure, un procès mené sans audience publique respecte les exigences de l'art. 6 CEDH si seules des questions juridiques ou hautement techniques sont à juger (ATF 4A.9/2006 du 18 juillet 2006 et les références citées; 1C_192/2007 du 25 mars 2008 ). En l'espèce, il n'y a pas de contestation sur les faits et la question purement juridique de la validité de la décision de l'assemblée générale peut être tranchée sur la base des écritures des parties.</w:t>
      </w:r>
    </w:p>
    <w:p>
      <w:r>
        <w:rPr>
          <w:b/>
        </w:rPr>
        <w:t>E. 2</w:t>
      </w:r>
    </w:p>
    <w:p>
      <w:r>
        <w:t>Elle est l'autorité supérieure du syndicat et prend toutes les décisions que la loi, le règlement ou les statuts ne mettent pas dans la compétence d'un autre organe.</w:t>
      </w:r>
    </w:p>
    <w:p>
      <w:r>
        <w:rPr>
          <w:b/>
        </w:rPr>
        <w:t>E. 3</w:t>
      </w:r>
    </w:p>
    <w:p>
      <w:r>
        <w:t>Elle approuve le devis des travaux et, avec l'accord du département, ordonne la mise en oeuvre de ceux-ci.</w:t>
      </w:r>
    </w:p>
    <w:p>
      <w:r>
        <w:rPr>
          <w:b/>
        </w:rPr>
        <w:t>E. 4</w:t>
      </w:r>
    </w:p>
    <w:p>
      <w:r>
        <w:t>La recourante fait valoir qu'aucune indication n'a été donnée avant l'assemblée et que pour approuver un devis de 34 milions, les propriétaires devraient avoir la possibilité de se préparer à l'avance. Elle reproche au syndicat d'avoir minimisé la portée de cette décision en la noyant dans un ordre du jour comprenant beaucoup d'autres points. Selon l'art. 29 LAF, c'est aux statuts du syndicat de régler la forme à observer pour les convocation des assemblées générales (cette solution est aussi celle de la société anonyme, art. 626 ch. 5 CO). En l'espèce, ceux du Syndicat du Mont-sur-Lausanne prévoient à leur art. 7 al. 2 et 3 ce qui suit: "La convocation, avec ordre du jour sommaire, doit être faite individuellement au moins 15 jours à l'avance. Les questions et propositions individuelles doivent être présentées par écrit au président du comité au moins 3 jours avant l'assemblée, de façon à permettre aux organes du syndicat de répondre." La recourante ne prétend pas que cette disposition, qu'elle ne cite pas, aurait été violée en l'espèce. Elle ne soutient pas non plus qu'un principe de droit supérieur imposerait de nantir les propriétaires d'une documentation plus ample qu'un "ordre du jour sommaire" au sens de l'art. 7 al. 2 des statuts du syndicat.</w:t>
      </w:r>
    </w:p>
    <w:p>
      <w:r>
        <w:rPr>
          <w:b/>
        </w:rPr>
        <w:t>E. 5</w:t>
      </w:r>
    </w:p>
    <w:p>
      <w:r>
        <w:t>Il peut certes paraître curieux qu'un devis de plusieurs dizaines de millions puisse être soumis à l'approbation des propriétaires sans que ceux-ci puissent prendre connaissance à l'avance de son contenu mais il faut bien voir que la décision attaquée n'a pas la portée que lui prête la recourante. Tout d'abord, on n'est pas en présence d'une décision approuvant le devis des travaux au sens de l'art. 30 al. 3 LAF. La loi ne prévoit pas que l'assemblée des propriétaires soit amenée à se prononcer sur une "approbation de principe du devis de l'avant-projet des travaux collectifs". Malgré les explications qui ont été fournies par le représentant du service cantonal durant l'assemblée générale (il s'agirait de " donner l'accord de l'assemblée avec le contenu du plan financier" ), on ne comprend guère quelle est la portée d'une telle décision. Cela ne semble d'ailleurs pas avoir échappé au président de la commission de classification qui a relevé à juste titre (selon le procès-verbal cité plus haut) que l'essentiel a déjà été décidé plusieurs années auparavant, lorsque le syndicat a étendu son but à l'équipement des terrains à bâtir inclus dans le périmètre du syndicat. En outre, même la décision d'approbation du devis que l'art. 30 al. 3 LAF place dans la compétence de l'assemblée générale n'a qu'une portée limitée. En effet, la question de savoir quels sont les travaux qu'entreprendra le syndicat ne dépend pas de l'assemblée générale. Ce sont les enquêtes organisées par la commission de classification et les décisions que celle-ci prend en première instance sur les réclamations des propriétaires qui déterminent les grandes lignes des travaux collectifs (enquête sur l'avant-projet), puis leurs caractéristiques détaillées (enquête sur le projet d'exécution) telles que le revêtement des chemins ou le diamètre des collecteurs. La décision que prend l'assemblée générale en approuvant le devis n'a aucun effet sur ce point. Elle intervient en bonne logique après la liquidation des enquêtes sur l'avant-projet, puis le projet d'exécution des travaux collectifs. On peut dans ces conditions se demander quelle est la portée de la décision de l'assemblée générale prévue par l'art. 30 al. 3 LAF. Les travaux préparatoires ne contiennent aucune indication sur ce point (BGC automne 1961 p. 399). Il s'agit probablement de permettre au comité de direction d'obtenir une décharge pour son action s'agissant de l'adjudication des travaux (art. 38 LAF) et de leur mise en oeuvre (qui nécessite également l'approbation de l'assemblée générale). En résumé, l'approbation du devis des travaux collectifs par l'assemblée générale, telle qu'elle est prévue par l'art. 30 al. 2 LAF, n'a qu'une portée limitée. Quant à l'approbation "de principe" que le syndicat intimé a jugé bon de soumettre à son assemblée générale en l'espèce, on peut se demander si elle remplit plus qu'un but (opportun) d'information. Mais quoi qu'il en soit de sa portée, apparemment limitée, la décision attaquée résiste aux griefs formels de la recourante.</w:t>
      </w:r>
    </w:p>
    <w:p>
      <w:r>
        <w:rPr>
          <w:b/>
        </w:rPr>
        <w:t>E. 6</w:t>
      </w:r>
    </w:p>
    <w:p>
      <w:r>
        <w:t>Quant au moyen selon lequel les propriétaires qui s'étaient fait représenter n'auraient pas pu s'exprimer valablement parce qu'ils n'avaient pas connaissance du montant sur lequel ils allaient s'engager, il ne résiste pas à l'examen. Que les propriétaires puissent se faire représenter n'est pas douteux puisque l'art. 30 al. 4 LAF et l'art. 10 des statuts du syndicat le prévoient expressément. Pour le surplus, on ne voit pas d'où la recourante tirerait que le représentant ne pourrait s'exprimer au nom du représenté que si ce dernier a été mis préalablement au courant du déroulement de l'assemblée. La question de savoir comment le représentant exprime la voix qui lui est conférée relève du pouvoir dont il est investi par le propriétaire et que ce dernier peut aménager librement par des instructions.</w:t>
      </w:r>
    </w:p>
    <w:p>
      <w:r>
        <w:rPr>
          <w:b/>
        </w:rPr>
        <w:t>E. 7</w:t>
      </w:r>
    </w:p>
    <w:p>
      <w:r>
        <w:t>Vu ce qui précède, le recours doit être rejeté aux frais de la recourante. S'agissant des dépens (la question se pose pour le syndicat, dont le comité de direction a consulté un avocat tandis que la commission de classification agit par ses propres organes), on rappellera que le Tribunal fédéral a déduit de l'art. 55 al. 2 LJPA qu'à l'exception des communes, les collectivités publiques du droit cantonal n'ont pas droit à des dépens lorsqu'elles agissent dans l'exercice de leurs attributions officielles, sans que leurs intérêts pécuniaires ne soient en jeu (ATF 1P.755/2001 du 11 mars 2002) . Le syndicat étant une corporation de droit public cantonal (art. 20 LAF),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