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AF.2003.0018 vom 19. Oktober 2004</w:t>
      </w:r>
    </w:p>
    <w:p>
      <w:r>
        <w:t>VD Tribunal cantonal, 2004-10-19, FR</w:t>
      </w:r>
    </w:p>
    <w:p>
      <w:r>
        <w:rPr>
          <w:b/>
        </w:rPr>
        <w:t xml:space="preserve">Quelle: </w:t>
      </w:r>
      <w:r>
        <w:t>https://mcp.opencaselaw.ch/entscheid/vd_omni_AF.2003.0018</w:t>
      </w:r>
    </w:p>
    <w:p>
      <w:r>
        <w:t>FR: VD_OMNI AF.2003.0018 du 19 octobre 2004</w:t>
      </w:r>
    </w:p>
    <w:p>
      <w:r>
        <w:t>IT: VD_OMNI AF.2003.0018 del 19 ottobre 2004</w:t>
      </w:r>
    </w:p>
    <w:p>
      <w:pPr>
        <w:pStyle w:val="Heading2"/>
      </w:pPr>
      <w:r>
        <w:t>Regeste</w:t>
      </w:r>
    </w:p>
    <w:p>
      <w:r>
        <w:t>FAVRE Mme Edith FAVRE/Comité de direction du SAF de Chersaulaz, Service des améliorations foncières, ccl du SAF de Chersaulaz, ccl du SAF de Chersaulaz | Admission partielle du recours pour le motif que la commission de classification n'a pas modifié l'estimation (fixée 20 ans auparavant) d'une surface où s'est produit un glissement de terrain.</w:t>
      </w:r>
    </w:p>
    <w:p>
      <w:pPr>
        <w:pStyle w:val="Heading2"/>
      </w:pPr>
      <w:r>
        <w:t>Erwägungen</w:t>
      </w:r>
    </w:p>
    <w:p>
      <w:r>
        <w:rPr>
          <w:b/>
        </w:rPr>
        <w:t>E. 45</w:t>
      </w:r>
    </w:p>
    <w:p>
      <w:r>
        <w:t>cts par m2 en moyenne et elle ne l’a pas modifiée dans le cadre du remaniement parcellaire. Or, le recourant a précisé qu’elle serait de 15 cts dans les ravins. On doit dès lors admettre que la taxation de la parcelle est manifestement trop élevée, puisqu’elle ne tient pas compte d’une dépréciation du terrain dans la zone ravinée. La décision rendue doit par conséquent être annulée et la cause renvoyée à la Ccl pour nouvelle décision, à charge pour elle de déterminer la nouvelle valeur et les éventuelles conséquences par rapport au nouvel état. 5.                     Dans l’ancien état, Robert Favre était notamment propriétaire de cinq petites parcelles de terrain situées sur les hauts de la zone de remaniement parcellaire, dans la partie est du lieu-dit « En Chevril » (parcelles n° 1237, 1252, 1254, 1256 et 1480), totalisant 3'296 m2 en fauchage et 1'283 m2 en pâturage. Dans le nouvel état, Robert Favre reçoit notamment une parcelle d’un seul tenant de forme rectangulaire (n° 6616) qui compte 3'698 m2 en fauchage et 4'217 m2 en pâturage. La visite des lieux a permis de constater que cette parcelle constitue un pâturage de qualité supérieure, mais que la surface en fauchage a effectivement diminué du fait de la mise en pâturage. Toutefois, sur l’ensemble de l’état, Robert Favre voit le total de ses terrains en fauchage, soit 47'465 m2 (ancien état) augmenter à 55'577 m2 dans le nouvel état, soit 8'112 m2 de plus. Quant aux terrains en pâturage, ils diminuent, passant de 17'013 m2 à 6'650 m2, soit 10'363 m2 de moins. En définitive, le recourant ne subit pas un désavantage, même si la parcelle n° 6616 est essentiellement exploitable en pâturage et qu’elle nécessite que de l’eau y soit amenée. En effet, les valeurs retenues par la Ccl passent de 26'572 francs (ancien état) à 29'298 francs (nouvel état), soit une soulte positive de 2'726 francs. Globalement, la situation de l’exploitation est ainsi améliorée. 6.                     Il résulte des considérants qui précèdent que le recours doit être admis en tant qu’il porte sur la parcelle n° 6634 propriété d’Edith Favre, mais qu’il doit être rejeté pour la parcelle n° 6616 propriété de Robert Favre. Un émolument réduit fixé à 1'000 francs est mis à la charge du recourant qui obtient partiellement gain de cause.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