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AF.2003.0003 vom 6. Mai 2004</w:t>
      </w:r>
    </w:p>
    <w:p>
      <w:r>
        <w:t>VD Tribunal cantonal, 2004-05-06, FR</w:t>
      </w:r>
    </w:p>
    <w:p>
      <w:r>
        <w:rPr>
          <w:b/>
        </w:rPr>
        <w:t xml:space="preserve">Quelle: </w:t>
      </w:r>
      <w:r>
        <w:t>https://mcp.opencaselaw.ch/entscheid/vd_omni_AF.2003.0003</w:t>
      </w:r>
    </w:p>
    <w:p>
      <w:r>
        <w:t>FR: VD_OMNI AF.2003.0003 du 6 mai 2004</w:t>
      </w:r>
    </w:p>
    <w:p>
      <w:r>
        <w:t>IT: VD_OMNI AF.2003.0003 del 6 maggio 2004</w:t>
      </w:r>
    </w:p>
    <w:p>
      <w:pPr>
        <w:pStyle w:val="Heading2"/>
      </w:pPr>
      <w:r>
        <w:t>Regeste</w:t>
      </w:r>
    </w:p>
    <w:p>
      <w:r>
        <w:t>COSTA Alain et crts c/ccl pour l'épuration des servitudes au lieu-dit ''Sus la Grangette'' à Villars-sur-Ollon | L'épuration des servitudes effectuée en application de l'art. 93a LAF doit respecter le principe de la compensation réelle.</w:t>
      </w:r>
    </w:p>
    <w:p>
      <w:pPr>
        <w:pStyle w:val="Heading2"/>
      </w:pPr>
      <w:r>
        <w:t>Erwägungen</w:t>
      </w:r>
    </w:p>
    <w:p>
      <w:r>
        <w:rPr>
          <w:b/>
        </w:rPr>
        <w:t>E. 2</w:t>
      </w:r>
    </w:p>
    <w:p>
      <w:r>
        <w:t>LAT, "les zones à bâtir sont équipées par la collectivité intéressée dans le délai prévu par le programme d'équipement". Un terrain est notamment équipé lorsqu'il dispose d'un accès suffisant (art. 19 al. 1 er LAT; ATF 120 II 185). Celui-ci doit être procuré, ainsi que l'a retenu le Tribunal fédéral (ATF 121 I 65, consid. 4a), au moyen de surfaces fixées en premier lieu dans le cadre de la planification, le cas échéant par le biais d'un remembrement ou d'une rectification de limites comme le prévoit l'art. 7 de la loi fédérale encourageant la construction et l'accession à la propriété de logements (LCAP; RS 843). Selon cette disposition, "si la dimension des parcelles et le tracé des limites rendent difficiles l'équipement d'une zone destinée à la construction de logements et l'implantation rationnelle de bâtiments sur cette zone ou la rénovation de quartiers d'habitation, il importe de remanier les fonds quant à leur forme, leur dimension et leur groupement ou d'en rectifier les limites" . Dans cette perspective, le propriétaire d'un terrain dépourvu d'accès n'a pas à saisir d'emblée le juge civil d'une action en passage nécessaire selon l'art. 694 CC: un tel besoin doit en effet être satisfait en premier lieu par l'aménagement du territoire (ATF 120 II 185; Jomini, in Commentaire de la LAT, n.23 ad art. 19; Zen-Ruffinen/Guy-Ecabert, Aménagement du territoire, construction, expropriation, 2001, p. 327). Pour cette même raison, il n'y a pas à recourir à cette autre institution du droit privé qu'est le changement dans l'assiette de la servitude prévue à l'art. 742 CC; de toute manière, le texte de cette disposition ne favorise que le propriétaire grevé, même si certains auteurs préconisent de l'appliquer également aux propriétaires du fond dominant (Peter Liver, 1980, commentaire zurichois, ch. 28-29 ad art. 742 CC; Paul Piotet, Les droits réels limités en général, les servitudes et les charges foncières, in Traité de droit privé suisse, 1978, p. 68; v. aussi Etienne Petitpierre, commentaire bâlois ch. 5 ad art. 742 CC). Selon l'art. 20 LAF, "lorsque la réalisation de plans d'affectation l'exige, le remembrement peut être ordonné d'office et au besoin exécuté par l'autorité compétente" . Cette disposition renvoie implicitement aux lois spéciales, fédérales ou cantonales, définissant tant le remembrement, à savoir les différentes formes de remaniement parcellaire, que la rectification de limites (Jomini, in Commentaires LAT, n. 2 et 16 ad art. 20). En droit fédéral, l'art. 7 LCAP susmentionné consacre le principe selon lequel ces procédures sont destinées soit à procurer un équipement, soit à permettre une implantation rationnelle de bâtiments. A la lettre de l'art. 10 LCAP, une rectification de limites n'est toutefois prévue que pour cette dernière hypothèse: elle n'a pas pour but l'aménagement d'installations d'équipement (Jomini, op. cit., n. 16 ad art. 20). Selon l'art. 11 al. 1 er LCAP, le droit cantonal règle notamment les principes de droit matériel en matière de rectification des limites, cela "dans les limites du droit fédéral" . En droit vaudois, l'art. 93a LAF ne traite, on l'a vu, que de la "correction de limites (…) en vue d'assurer notamment une utilisation rationnelle du sol" . Un remaniement, dans le cadre duquel des servitudes de passage peuvent être créées (art. 62 LAF), doit être opéré quant à lui en mettant sur pied un syndicat d'améliorations foncières (cf. art. 85j ss LAF). c) En l'espèce, l'autorité intimée a supprimé et modifié les servitudes existantes et en a créé de nouvelles, cela en vue de procurer un équipement. Comme l'a relevé le Tribunal fédéral au considérant 1.2 de son arrêt du 15 mai 2003, elle n'a ainsi pas procédé à une rectification de limites au sens de l'art. 10 LCAP mais a effectué un autre type d'améliorations foncières. La question est de savoir si son activité pouvait trouver une base légale à l'art. 93a LAF. Dans son arrêt AC 1998/0097, le Tribunal administratif a considéré que cette disposition fondait une opération consistant à corriger non pas une limite de propriété proprement dite, comme sa lettre le prévoit, mais l'assiette d'une servitude existante: tout comme un remaniement comprend la refonte de servitudes (cf. art. 62 LAF), la rectification de limites devait permettre de remodeler des droits réels restreints. L'épuration de servitudes à laquelle a procédé l'autorité intimée n'a cependant pas consisté seulement à déplacer l'assiette de servitudes existantes: elle a également porté sur une transformation de leur objet. En effet, alors que la servitude no 231779 avait un but exclusivement agricole, on a créé à sa place un droit de passage ordinaire; alors que la servitude de passage desservant la parcelle 10140 ne concernait qu'un tronçon à l'intérieur du quartier, on a créé un nouveau droit pour relier ce tronçon à la voie publique. Mais on doit considérer que de tels aménagements, en tant qu'ils instaurent un droit réel restreint nouveau par transformation d'un droit préexistant insuffisant, peuvent aussi être compris dans la notion de correction de limites: d'une part, même si le texte de l'art. 93a LAF ne fait état que d'une telle correction, qui pourrait être prise uniquement au sens technique, le législateur, on l'a vu (cf. considérant 1 ci-dessus), visait une opération plus large, à savoir un remaniement parcellaire simplifié; d'autre part il faut admettre que la création comme en l'espèce d'un droit de passage sur un chemin existant, respectivement la conversion d'une servitude agricole en servitude ordinaire, représente pour le propriétaire grevé une atteinte moindre qu'une cession de 300 m² de terrain comme le permet l'art. 10 al. 2 LCAP. d) Au vu de ce qui précède, le SAF pouvait considérer que la création d'une commission de classification était une mesure adéquate en vue de procurer un équipement au secteur en cause par une modification de limites au sens de l'art. 93a LAF: l'intérêt public à "assurer une utilisation rationnelle des possibilités de construire" tel que reconnu par la jurisprudence (Tribunal administratif, arrêt AC 1998/0097 précité) constituait un intérêt prépondérant par rapport à celui des propriétaires concernés par une simple modification des servitudes de passage concernant leurs biens-fonds. En tant qu'il est dirigé contre cette décision du SAF, le recours doit dès lors être rejeté. Savoir si la Commission a agi sans outrepasser le cadre de l'art. 93a LAF et en respectant les conditions d'une atteinte au droit de la propriété sera examiné ci-dessous en traitant le recours dirigé contre son prononcé. 4.                     La raison d'être et le seul but de l'autorité intimée étant la fourniture d'un équipement en accès aux terrains constructibles du quartier "Sus la Grangette" , on constate qu'elle a effectué diverses opérations excédant ce cadre et qu'elle aurait dû restreindre le cercle des intéressés. Même s'il serait évidemment opportun de saisir l'occasion d'une correction de limites au sens de l'art. 93a LAF pour réaménager un réseau de servitudes, en supprimant des superpositions, en unifiant la largeur de l'exercice ou en attribuant la charge de l'entretien, une telle amélioration ne peut pas être entreprise contre le gré de certains propriétaires, vu le but particulier de cette disposition. a) Ainsi tout d'abord la desserte de la parcelle 2502 propriété de l'Etat de Vaud ne correspond-elle pas à l'équipement d'un terrain à bâtir: en zone de forêt, cette parcelle n'est pas visée par la procédure de l'art. 93a LAF et ce ne serait que par un accord amiable, respectivement une action en passage nécessaire qu'elle pourrait se voir attribuer un droit de passage autre que l'actuelle servitude agricole no 273952. b) De même la partie sud-ouest de la parcelle 3196, qui constituait précédemment la parcelle 14565, ne nécessite-t-elle pas d'accès particulier à la voie publique: celui-ci est en effet déjà garanti par une servitude s'exerçant depuis la partie bâtie. c) La partie ouest de la parcelle 3197 ne nécessite pas non plus d'accès particulier dès lors que la limite est jouxte la voie publique. d) Les parcelles 10084 et 3191, en tant qu'elles ne constituent que des dégagements acquis par les propriétaires des parcelles 3193 et 3188, ne nécessitent pas d'accès particulier dès lors que ces derniers disposent d'un droit de passage. Ce ne serait que dans l'hypothèse où les premières seraient vendues à un tiers en vue de construction que la question de leur équipement se poserait. Cette perspective étant improbable, la participation des propriétaires à l'opération d'améliorations foncières en cause ne saurait intervenir sans leur accord; ce n'est que s'ils entendaient se réserver la faculté d'une telle vente qu'ils devraient assumer les obligations liées à la fourniture d'un équipement; à défaut, ils devraient être réputés propriétaires d'une seule parcelle. Ce n'est donc qu'après interpellation par l'autorité intimée qu'ils pourraient le cas échéant être inclus dans les propriétaires concernés par une correction de limites. Le même raisonnement doit valoir pour la parcelle 10140, qui, si elle ne dispose pas d'un accès à la voie publique, est déjà bâtie et ne justifierait son inclusion dans l'opération litigieuse que si son propriétaire entendait se réserver la faculté de réaliser une construction nouvelle. e) Les parcelles 3183 et 3185 ne sont pas bâties et ne disposent pas d'un accès à la voie publique, ce qui justifie la création de servitudes. Celles-ci, au vu du chemin existant, devant grever les parcelles 3190, 8778, 8777, 3251 et 3250, ce ne sont que les propriétaires Costa, Ronchi et la commune d'Ollon qui doivent au surplus être appelés à participer à l'opération. En particulier celle-ci ne touche pas la PPE Lo Tsaouan, dont la parcelle jouxte la voie publique et ne se trouve pas sur le tracé du chemin existant. f) Certes la correction litigieuse ne doit-elle avoir lieu qu'en raison du fait que la servitude agricole no 231779 se révèle inutilisable, que ce soit en raison de son objet restreint ou de son tracé en terrain bâti. Mais l'autorité intimée n'avait pas pour autant à appeler à la procédure tous les propriétaires grevés par une telle servitude. Chargée de procurer un passage à certaines parcelles et constatant à l'évidence qu'il pourrait s'exercer aisément sur un chemin existant, alors que cela était exclu par des bâtiments sur le tracé de la servitude agricole, elle n'avait pas à se préoccuper du sort de celle-ci en mettant en cause les propriétaires grevés; qu'il puisse être reproché à certains de ceux-ci d'avoir bâti sur le tracé de cette servitude, alors même qu'elle n'était destinée qu'à l'activité agricole et non pas à la desserte d'un quartier d'habitation, relève uniquement du juge civil. 5.                     Comme l'a exposé le Tribunal fédéral dans son arrêt du 15 mai 2003, "L'épuration des servitudes effectuée en application de l'art. 93a LAF est une opération d'améliorations du sol (améliorations foncières), au sens de l'art. 703 CC (cf. en particulier art. 703 al. 3 CC); elle doit être réalisée, en vertu de l'art. 93 al. 4 LAF, "conformément au principe de la compensation réelle". Ce principe, dit aussi de l'équivalence, découle de la garantie constitutionnelle de la propriété. Dans un remaniement parcellaire, il signifie que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Les autorités chargées de la confection du nouvel état doivent rechercher toutes les solutions objectivement concevables pour résoudre les difficultés techniques susceptibles de compromettre la mise en œuvre du principe de la compensation réelle; ce n'est qu'en présence de difficultés insurmontables que le versement d'une indemnité en argent entre en considération (ATF 122 I 120 consid. 5 p. 127; 119 Ia 21 consid. 1a p. 24 et les arrêts cités). La mise en œuvre du principe de l'équivalence, dans la présente opération d'épuration des servitudes (ou de remaniement de droits réels limités), doit tenir compte de l'objet, très particulier, de cette procédure. Il faut apprécier, en comparaison avec l'ancien état, l'utilité des nouvelles servitudes pour les fonds dominants ainsi que les charges imposées aux fonds servants. Dès lors que l'on impose aussi, dans ce cadre, à des propriétaires de céder un passage à un voisin dont le fonds n'a qu'une issue insuffisante sur la voie publique, une compensation - réelle ou en argent - leur est en principe due (cf. par analogie l'art. 694 al. 1 CC, à propos de la cession d'un passage nécessaire). En l'espèce, le "Tableau des indemnités" établi par l'autorité intimée, outre qu'il inclut des propriétaires qui, on l'a vu, n'avaient pas à être attirés dans la procédure de correction de limites, est insatisfaisant à divers égards. a) Il n'y a tout d'abord pas à comptabiliser les effets d'une suppression de la servitude agricole no 231779, celle-ci devant être maintenue. b) Il n'y a ensuite pas à tenir compte d'un élargissement de servitudes de passage qui ne s'impose pas. c) Surtout, le procédé schématique consistant à chiffrer l'inconvénient que représente une servitude de passage à raison de la moitié de la valeur vénale du terrain occupé s'avère inapte à satisfaire le principe d'équivalence. Pour une parcelle déjà grevée d'une servitude de passage, le surcroît de trafic qu'entraînerait l'introduction d'un fonds dominant supplémentaire représente une atteinte à la propriété dont l'ampleur n'est pas fonction de la surface de l'assiette de la servitude. Cela apparaît par exemple clairement pour la parcelle 3190, qui, appelée à subir les désagréments du trafic à engendrer par la construction de nouvelles parcelles, ne devrait bénéficier à ce titre selon le tableau précité que d'une modeste indemnité de 650 fr. Cela étant, le principe d'équivalence n'a pas été respecté par l'autorité intimée. La cause lui sera renvoyée afin qu'elle détermine les avantages et inconvénients effectifs engendrés par l'opération litigieuse. Il lui incombera donc d'évaluer les parcelles en cause avant et après cette opération au moyen de critères objectifs afin d'assurer une pleine indemnisation des propriétaires grevés. Ainsi, une diminution de valeur sera imputée à telle parcelle eu égard à l'augmentation du trafic routier calculé en fonction du nombre de logements desservis, respectivement du coefficient d'utilisation du sol éventuellement prévu par la réglementation communale. Le critère du trafic pourra être combiné avec la surface d'emprise des servitudes par parcelle, sauf le cas où l'assiette d'une servitude nouvelle coïnciderait avec celle d'une servitude existante. Inversement, une augmentation de valeur résultera du raccordement de certaines parcelles à la voie publique. La comparaison de l'ancien et du nouvel état fera apparaître les avantages et les inconvénients déterminants pour chaque parcelle. Un système de pointage à traduire en francs permettra de répartir les frais de l'opération entre les intéressés. Si l'augmentation de valeur conférée par le raccordement à la voie publique ne couvre pas le préjudice subit par les propriétaires grevés, la différence devra en outre être assumée par les propriétaires bénéficiant de l'opération. 6.                     Les recourants Alain et Daniela Costa, Pierre-Francis Kaenel et Corine Hubert obtiennent gain de cause sur leurs conclusions en annulation. Tel est également le cas de la PPE sur ses conclusions subsidiaires. Ayant procédé par l'intermédiaire d'un avocat, ils ont droit à des dépens. Narcisse Pannatier succombe en revanche en tant qu'il concluait au rejet du recours. Tel est également le cas de la commune d'Ollon et de l'autorité intimée. L'art. 55 LJPA a la teneur suivante: "L'arrêt règle le sort des frais et dépens, qui sont en principe supportés par la ou les parties qui succombent. Le tribunal peut mettre un émolument à la charge des communes et leur allouer des dépens. Lorsque l'équité l'exige, le tribunal peut répartir les frais entre les parties et compenser les dépens, ou laisser tout ou partie des frais à la charge de l'Etat." En l'espèce, il n'y a pas à faire supporter un émolument de justice à la commission de classification, qui, instituée par le Service des améliorations foncières, ne constitue en quelque sorte qu'une émanation de celui-ci et n'a pas la personnalité juridique: considérée comme une autorité cantonale, elle doit être exemptée des frais de justice (art. 55 al. 2 LJPA a contrario). La commune n'a pas non plus à être chargée d'un émolument, dès lors qu'elle n'a fait que suggérer la création d'une commission de classification sans statuer elle-même. Les frais de justice devront donc être supportés par Narcisse Pannatier. On en réduira le montant à 2'000 fr. en équité eu égard à la complexité de la matière (art. 55 al. 3 LJPA). Selon la jurisprudence du Tribunal administratif élaborée dans le domaine de la construction, la collectivité publique n'a pas à assumer des dépens lorsque la procédure met en présence une ou plusieurs parties dont les intérêts sont opposés à ceux du recourant (RDAF 1994, p. 324; arrêt du 7 novembre 1996 dans la cause AC 1996/0126). Dans un arrêt du 26 juin 2003 (AC 2002/0132), on a dérogé à cette jurisprudence pour tenir compte de ce que la commune, en méconnaissant des règles générales relatives au coefficient d'occupation du sol, avait délivré une autorisation à tort. En l'espèce, il n'y a pas à imputer à l'autorité intimée ou à la commune l'inobservation de règles spécifiques, à défaut pour celles-ci d'avoir été préalablement énoncées en vue de faciliter l'application du nouvel art. 93a LAF. On s'en tiendra donc à la règle générale selon laquelle la partie privée qui succombe doit des dépens aux recourants obtenant gain de cause. Narcisse Pannatier se verra dès lors chargé de dépens, dont il convient de fixer le montant à 3'000 fr. en faveur tant d'Alain Costa et consorts que de la PPE, à savoir 6'000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