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AC.2025.0238 vom 8. Dezember 2025</w:t>
      </w:r>
    </w:p>
    <w:p>
      <w:r>
        <w:t>VD Tribunal cantonal, 2025-12-08, FR</w:t>
      </w:r>
    </w:p>
    <w:p>
      <w:r>
        <w:rPr>
          <w:b/>
        </w:rPr>
        <w:t xml:space="preserve">Quelle: </w:t>
      </w:r>
      <w:r>
        <w:t>https://mcp.opencaselaw.ch/entscheid/vd_omni_AC.2025.0238</w:t>
      </w:r>
    </w:p>
    <w:p>
      <w:r>
        <w:t>FR: VD_OMNI AC.2025.0238 du 8 décembre 2025</w:t>
      </w:r>
    </w:p>
    <w:p>
      <w:r>
        <w:t>IT: VD_OMNI AC.2025.0238 del 8 dicembre 2025</w:t>
      </w:r>
    </w:p>
    <w:p>
      <w:pPr>
        <w:pStyle w:val="Heading2"/>
      </w:pPr>
      <w:r>
        <w:t>Regeste</w:t>
      </w:r>
    </w:p>
    <w:p>
      <w:r>
        <w:t>A.________ /Direction générale des immeubles et du patrimoine, Municipalité de Tannay | Ne constitue pas une décision au sens de l'art. 3 LPA-VD, faute de déployer de conséquence juridique, l'acte par lequel l'autorité cantonale réévalue la note attribuée au rencensement architectural cantonal (en l'espèce, *2* au lieu de *3* précédemment). Recours irrecevable.</w:t>
      </w:r>
    </w:p>
    <w:p>
      <w:pPr>
        <w:pStyle w:val="Heading2"/>
      </w:pPr>
      <w:r>
        <w:t>Erwägungen</w:t>
      </w:r>
    </w:p>
    <w:p>
      <w:r>
        <w:rPr>
          <w:b/>
        </w:rPr>
        <w:t>E. 1</w:t>
      </w:r>
    </w:p>
    <w:p>
      <w:r>
        <w:t>Le recours, daté du 28 août 2025, porte sur une lettre, datée du 14 mai 2025, par laquelle l'autorité intimée informait le recourant des nouvelles notes de recensement architectural attribuées aux bâtiments sis sur sa parcelle ainsi qu'à l'ensemble. Le délai de recours de 30 jours fixé par l'art. 95 de la loi vaudoise du 28 octobre 2008 sur la procédure administrative (LPA-VD; BLV 173.36) n'apparaît donc pas respecté, même en tenant compte des féries (art. 96 al. 1 let. b LPA-VD). Toutefois, le recourant avait adressé, le 6 juin 2025 et donc dans le délai de recours de 30 jours, une lettre valant recours auprès de l'autorité intimée. Ce document n'a pas été transmis à la CDAP, tel que le prévoit l'art. 7 LPA-VD. Déposé dans le délai de recours prescrit auprès de l'autorité qui a rendu la décision, il y a lieu de considérer que la lettre de la DGIP a été contestée en temps utile.</w:t>
      </w:r>
    </w:p>
    <w:p>
      <w:r>
        <w:rPr>
          <w:b/>
        </w:rPr>
        <w:t>E. 2</w:t>
      </w:r>
    </w:p>
    <w:p>
      <w:r>
        <w:t>Il se pose toutefois la question de la nature de l'acte attaqué, singulièrement s'il constitue une décision. Dans sa réponse, l'autorité intimée fait ainsi valoir que tel n'est pas le cas et que cet acte n'est donc pas sujet à recours - conformément à ce qu'elle indiquait au pied de ce document. Dans la réplique déposée par le recourant, il n'est pas clair si celui-ci entend modifier les conclusions prises au pied de son recours en ce sens qu'il conclut désormais principalement à ce qu'il soit constaté que l'acte attaqué n'est pas une décision. Au vu de ses explications et malgré les doutes exprimés sur la recevabilité du recours, il est toutefois manifeste que le recourant ne souhaite pas retirer son recours. Ce point n'est finalement pas déterminant, le tribunal examinant quoi qu'il en soit d'office la recevabilité des recours qui lui sont soumis; il n'est par ailleurs pas lié par les conclusions des parties (art. 89 al. 1 LPA-VD applicable par renvoi de l'art. 99 LPA-VD). a) Est une décision au sens de l'art. 3 al. 1 LPA-VD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Sont également des décisions les décisions incidentes, les décisions sur réclamation ou sur recours, les décisions en matière d'interprétation ou de révision (al. 2). Cette dernière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 ATF 135 II 38 consid. 4.3). En d'autres termes, constitue une décision un acte étatique qui touche la situation juridique de l'intéressé, l'astreignant à faire, à s'abstenir ou à tolérer quelque chose, ou qui règle d'une autre manière obligatoire ses rapports avec l'Etat ( ATF 145 I 121 consid. 1.1.2; 135 II 22 consid. 1.2). En revanche, de simples déclarations, comme des opinions, des communications, des prises de position, des recommandations et des renseignements n'entrent pas dans la catégorie des décisions, faute de caractère juridique contraignant (ATF 130 V 288 consid. 2.3; TF 1C_310/2020 du 17 février 2021 consid. 2.1.2;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134 V 145 consid. 3; TF 1C_532/2016 du 21 juin 2017 consid. 2.3.1). La jurisprudence cantonale admet qu’une déclaration d’intention, qui fixe l’attitude qu’adoptera l’autorité dans un cas concret, constitue une décision qui peut faire l’objet d’un recours immédiat, sans attendre la réalisation de l’intention (CDAP AC.2019.0247 du 28 avril 2020 et les arrêts cités). b) Au niveau cantonal, la protection du patrimoine bâti est assurée par la loi du 30 novembre 2021 sur la protection du patrimoine culturel immobilier (LPrPCI; BLV 451.16), en vigueur depuis le 1 er juin 2022. Les principes établis par l'ancienne loi vaudoise du 10 décembre 1969 sur la protection de la nature, des monuments et des sites (aLPNMS) puis l'ancienne loi du 10 décembre 1969 sur la protection de la nature et des sites qui lui a succédé (LPNS; BLV 450.11), qui a été abrogée par la loi du 30 août 2022 sur la protection du patrimoine naturel et paysager (LPrPNP; BLV 450.11), n'ont pas été fondamentalement remis en question par la LPrPCl ou son règlement d'application (RLPrPCI; BLV 451.16.1). La nouvelle législation reprend pour l'essentiel le système de protection prévu jusqu'alors (CDAP AC.2021.0372 du 21 juillet 2022 consid. 6a; AC.2021.0074 du 13octobre 2022 consid. 7a/bb).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L'art. 14 LPrPCI prévoit expressément un recensement architectural permettant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dans le RLPrPCI, à son art. 8. c) A maintes reprises et également sous l'empire de la LPrPCI, la Cour de céans a eu l'occasion de dire que l'inscription d'un objet au recensement architectural ne constitue pas une mesure de protection, les mesures de protection étant définies uniquement par la mise à l'inventaire ou le classement. Les notes indiquées dans ce cadre ont un effet purement indicatif et informatif.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(TF 1C_298/2017 du 30 avril 2018 consid. 3.1.5; 1C_493/2016 du 30 mai 2017 consid. 2.5; CDAP AC.2024.0113 du 24 juillet 2025 consid. 3a/bb; AC.2021.0389 du 31 janvier 2023 consid. 3c/bb et les références cantonales). Ainsi, la note attribuée à un bâtiment dans le cadre du recensement et la réévaluation de cette note ne déploient pas en elles-mêmes de conséquence juridique qui aurait pour effet de créer, de modifier ou d'annuler des droits et obligations ou encore de constater l'existence, l'inexistence ou l'étendue de droits et obligations. L'acte par lequel une note est attribuée à un bâtiment - ou modifiée - ne remplit donc pas les conditions de l'art. 3 al. 1 LPA-VD et ne peut être considéré comme une décision susceptible de recours (CDAP AC.2010.0241 du 16 novembre 2011; Aurélien Wiedler, La protection du patrimoine bâti, Etude de droit fédéral et cantonal, thèse Lausanne, Berne 2019, p. 262 s.). d) Il en découle que l'acte ici litigieux, qui informe le recourant de la réévaluation des notes attribuées à ses bâtiments dans le cadre du recensement architectural, ne constitue pas une décision, comme l'avait correctement indiqué l'autorité intimée au pied de cet acte. Il n'est partant pas sujet à recours et le recours est par conséquent irrecevable.</w:t>
      </w:r>
    </w:p>
    <w:p>
      <w:r>
        <w:rPr>
          <w:b/>
        </w:rPr>
        <w:t>E. 3</w:t>
      </w:r>
    </w:p>
    <w:p>
      <w:r>
        <w:t>A toutes fins utiles, il convient de préciser que la LPrPCI comprend plusieurs mesures de protection des objets du patrimoine culturel immobilier énumérés à l'art. 3 LPrPCI, dont l'inscription à l'inventaire pour les objets méritant d'être protégés qui nécessitent une surveillance du département (art. 15 ss LPrPCI). S'ils ne sont pas classés, les objets recensés en note 1 et 2 sont en principe inscrits à l'inventaire (art. 9 al. 2 RLPrPCI), ce que l'autorité intimée a déclaré envisager dans sa lettre du 14 mai 2025. L'inscription à l'inventaire fait l'objet d'une décision (formelle) adoptée par le département (art. 17 al. 1 LPrPCI) et suit la procédure décrite aux art. 16 ss LPrPCI qui prévoit notamment que les titulaires de droits réels sur l'objet sont informés par acte écrit recommandé (art. 16 al. 1 LPrPCI) et disposent d'un délai de 20 jours ouvrables pour déposer leurs observations (art. 16 al. 2 LPrPCI). Le recourant pourra donc faire valoir ses arguments relatifs à l'appréciation patrimoniale et culturelle de ses bâtiments dans le cadre de la procédure de mise à l'inventaire et notamment contester et remettre en cause l'appréciation apportée sur la valeur du bâtiment dans le cadre du recensement architectural. De même, en l'absence de mesure de protection (mise à l'inventaire ou classement, ici toutefois pas envisagé à ce stade), le recourant pourra contester l'appréciation patrimoniale de ses bâtiments dans le cadre d'une procédure liée à une demande de permis de construire concernant d'éventuels travaux sur ses bâtiments, si la valeur de ceux-ci a influencé la décision. Enfin, lorsque la note au recensement architectural est prise en compte dans le cadre d'une planification communale ou cantonale, cette note a la valeur de donnée de base au sens de l'art. 6 al. 3 let. a de la loi fédérale du 22 juin 1979 sur l'aménagement du territoire (LAT; RS 700) et 36 al. 1 de la loi du 4 décembre 1985 sur l'aménagement du territoire et les constructions (LATC; BLV 700.11) et elle ne lie pas le propriétaire, lequel peut alors, dans son recours contre la mesure de planification, contester et remettre en cause l'appréciation apportée sur la valeur du bâtiment dans le cadre du recensement architectural et par là même la justification des restrictions pour son bien-fonds (CDAP AC.2010.0241 précité consid. 6c).</w:t>
      </w:r>
    </w:p>
    <w:p>
      <w:r>
        <w:rPr>
          <w:b/>
        </w:rPr>
        <w:t>E. 4</w:t>
      </w:r>
    </w:p>
    <w:p>
      <w:r>
        <w:t>Il résulte de ce qui précède que le recours est irrecevable. La présente décision mettant fin à la procédure de recours, la requête de levée de l'effet suspensif déposée par la DGIP n'a plus d'objet. Succombant, le recourant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