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AC.2025.0017 vom 1. Juli 2025</w:t>
      </w:r>
    </w:p>
    <w:p>
      <w:r>
        <w:t>VD Tribunal cantonal, 2025-07-01, FR</w:t>
      </w:r>
    </w:p>
    <w:p>
      <w:r>
        <w:rPr>
          <w:b/>
        </w:rPr>
        <w:t xml:space="preserve">Quelle: </w:t>
      </w:r>
      <w:r>
        <w:t>https://mcp.opencaselaw.ch/entscheid/vd_omni_AC.2025.0017</w:t>
      </w:r>
    </w:p>
    <w:p>
      <w:r>
        <w:t>FR: VD_OMNI AC.2025.0017 du 1 juillet 2025</w:t>
      </w:r>
    </w:p>
    <w:p>
      <w:r>
        <w:t>IT: VD_OMNI AC.2025.0017 del 1 luglio 2025</w:t>
      </w:r>
    </w:p>
    <w:p>
      <w:pPr>
        <w:pStyle w:val="Heading2"/>
      </w:pPr>
      <w:r>
        <w:t>Regeste</w:t>
      </w:r>
    </w:p>
    <w:p>
      <w:r>
        <w:t>A.________/Municipalité de Rossinière, B.________, C.________ | Les travaux d'aménagement d'une piste d'accès pour véhicules ne sont pas de minime importance et doivent faire l'objet d'une autorisation de construire. Le recours contre la décision exigeant le dépôt d'une demande en ce sens est par conséquent rejeté.</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de la loi du 28 octobre 2008 sur la procédure administrative [LPA-VD; BLV 173.36]). En l'occurrence, le recours est dirigé contre une "décision" municipale confirmant que les travaux d'aménagement d'une piste d'accès provisoire pour véhicules sont soumis à autorisation et doivent faire l'objet d'une demande en ce sens. Cette "décision" ne comporte pas l'indication des voies de droit. aa)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La notion de décision vise, d'une manière générale, toute mesure que prend une autorité, dans un cas individuel et concret, en vue de produire un certain effet juridique.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149 V 250 consid. 2.1; TF 2C_39/2025 du 25 mars 2025 consid. 4.3). bb) Aucun travail de construction ou de démolition ne peut être entrepris sans autre. L'art. 103 de la loi du 4 décembre 1985 sur l'aménagement du territoire et les constructions (LATC; BLV 700.11) prévoit que les travaux de construction ou de démolition doivent être annoncés à la municipalité et ne peuvent commencer sans la décision de cette dernière (al. 4). Dans un délai de trente jours, la municipalité décide si le projet de construction ou de démolition nécessite une autorisation (al. 5). Si l'autorité considère qu'il n'y a pas matière à autorisation de construire, les travaux peuvent débuter; dans l'hypothèse contraire le propriétaire doit suivre la procédure usuelle du permis de construire (Benoît Bovay et al., Droit fédéral et vaudois de la construction, 4 ème éd., Bâle 2010, n. 1 ad art. 103 LATC, p. 398). cc) Vu ce qui précède, la "décision" confirmant que le projet litigieux est soumis à autorisation et exigeant le dépôt d'une demande en ce sens constitue une décision susceptible de recours, bien qu'elle ne soit pas assortie des voies de droit. b) Déposé en temps utile (art. 95 LPA-VD), le recours respecte en outre les autres conditions formelles de recevabilité (art. 79 LPA-VD, applicable par renvoi de l'art. 99 LPA-VD). Il y a donc lieu d'entrer en matière.</w:t>
      </w:r>
    </w:p>
    <w:p>
      <w:r>
        <w:rPr>
          <w:b/>
        </w:rPr>
        <w:t>E. 2</w:t>
      </w:r>
    </w:p>
    <w:p>
      <w:r>
        <w:t>Le litige porte sur l'aménagement d'un accès pour véhicules sur la parcelle n° 508, en faveur de la parcelle n° 507. La municipalité considère qu'un tel projet doit faire l'objet d'une demande d'autorisation. Le recourant objecte que les travaux prévus sont de minime importance, qu'ils portent sur un accès provisoire, et ne sont donc pas assujettis à un permis de construire. a) L'art. 22 al. 1 de la loi fédérale du 22 juin 1979 sur l'aménagement du territoire (LAT; RS 700) prévoit qu'aucune construction ou installation ne peut être créée ou transformée sans autorisation de l'autorité compétente. Si la notion de construction ou d'installation n'est pas définie dans la loi, elle a fait l'objet de nombreuses précisions jurisprudentielles. Sont ainsi considérés comme des constructions ou installations au sens de l'art. 22 al. 1 LAT tous les aménagements durables et fixes créés par la main de l'homme, exerçant une incidence sur l'affectation du sol parce qu'ils modifient sensiblement l'espace extérieur, chargent l'infrastructure d'équipement ou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 ATF 139 II 134 consid. 5.2; 123 II 256 consid. 3; TF 1C_112/2023 du 15 décembre 2023 consid. 2.1). L’art. 22 LAT est directement applicable, de sorte que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(CDAP AC.2011.0226 du 6 février 2012 consid. 2a et la réf. citée). b) L'art. 103 al. 1 LATC prévoit qu'aucun travail de construction ou de démolition en surface ou en sous-sol, modifiant de façon sensible la configuration, l'apparence ou l'affectation d'un terrain ou d'un bâtiment, ne peut être exécuté avant d'avoir été autorisé. Il précise (al. 2) que ne sont pas soumises à autorisation l es constructions, les démolitions et les installations de minime importance ne servant pas à l'habitation ou à l'activité professionnelle et dont l'utilisation est liée à l'occupation du bâtiment principal (let. a) ; les aménagements extérieurs, les excavations et les travaux de terrassement de minime importance (let. b); les constructions et les installations mises en place pour une durée limitée (let. c) . Peuvent ne pas être soumis à autorisation selon l'art. 68a al. 2 du règlement d'application de la LATC du 19 septembre 1986 (RLATC; BLV 700.111.1), notamment les constructions et les installations de minime importance ne servant pas à l’habitation ou à l’activité professionnelle dont l’utilisation est liée à l’occupation du bâtiment principal à proximité duquel elles se situent telles que les sentiers piétonniers privés (let. a); les aménagements extérieurs, les excavations et les travaux de terrassement de minime importance tels que les excavations et travaux de terrassement ne dépassant pas la hauteur de 0,50 m et le volume de 10 m</w:t>
      </w:r>
    </w:p>
    <w:p>
      <w:r>
        <w:rPr>
          <w:b/>
        </w:rPr>
        <w:t>E. 3</w:t>
      </w:r>
    </w:p>
    <w:p>
      <w:r>
        <w:t>Les considérants qui précèdent conduisent au rejet du recours, entièrement mal fondé, et à la confirmation de la décision attaquée. Le recourant, qui succombe, doit assumer les frais judiciaires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