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AC.2024.0374 vom 28. November 2025</w:t>
      </w:r>
    </w:p>
    <w:p>
      <w:r>
        <w:t>VD Tribunal cantonal, 2025-11-28, FR</w:t>
      </w:r>
    </w:p>
    <w:p>
      <w:r>
        <w:rPr>
          <w:b/>
        </w:rPr>
        <w:t xml:space="preserve">Quelle: </w:t>
      </w:r>
      <w:r>
        <w:t>https://mcp.opencaselaw.ch/entscheid/vd_omni_AC.2024.0374</w:t>
      </w:r>
    </w:p>
    <w:p>
      <w:r>
        <w:t>FR: VD_OMNI AC.2024.0374 du 28 novembre 2025</w:t>
      </w:r>
    </w:p>
    <w:p>
      <w:r>
        <w:t>IT: VD_OMNI AC.2024.0374 del 28 novembre 2025</w:t>
      </w:r>
    </w:p>
    <w:p>
      <w:pPr>
        <w:pStyle w:val="Heading2"/>
      </w:pPr>
      <w:r>
        <w:t>Regeste</w:t>
      </w:r>
    </w:p>
    <w:p>
      <w:r>
        <w:t>A._____/Département des institutions, de la culture, des infrastructures et des ressources humaines, Direction générale de l'environnement DGE-DIRNA, Direction générale de l'environnement DGE-DIREV, Direction générale du territoire et du logement, Municipalité d'Assens, de St-Barthélemy, d'Echallens | Recours d'un agriculteur contre un projet de piste cyclable entre St-Barthélémy et Echallens (impliquant la légalisation d'un plan d'affectation) prévu sur des terres agricoles. Confirmation de la pesée des intérêts effectuée par le département, le projet s'inscrivant notamment dans la stratégie vélo 2025 puisque le tronçon litigieux fait partie du réseau cyclable utilitaire structurant prévu par cette stratégie. Il n'existe pas de variante plus favorable. Constat à cet égard que la loi demande que les voies cyclables suivent un tracé direct, exigence que ne respectent pas les chemins vicinaux existants. Les aspects financiers n'ont pas à être pris en compte dans la pesée des intérêts (consid. 3). Les pistes cyclables font partie des projets qui, selon le Plan directeur cantonal, peuvent empiéter sur les SDA. Constat que le projet, qui répond à un intérêt public important, ne peut se faire qu'en empiétant sur les SDA et qu'il n'existe pas de variante permettant une emprise moindre. L'art. 30 al 1bis OAT est par conséquent respecté. Pas d'obligation de compenser dès lors que, au moment où la décision a été rendue, la part cantonale de la surface totale minimale d'assolement était garantie (consid. 4). Rejet du grief relatif à l'absence de la planification des réseaux de voies cyclables prévue par la LVC. Les cantons ont en effet jusqu'au 31 décembre 2027 pour établir cette planification. Question de savoir si la stratégie vélo 2035 répond d'ores et déjà à cette exigence de planification laissée ouverte. Constat qu'un plan relatif à une piste cyclable peut être légalisé même en l'absence de la planification exigée par la LVC (consid. 6). Rejet du grief relatif au principe de coordination (consid. 7). Recours pendant au TF (1C_24/2026).</w:t>
      </w:r>
    </w:p>
    <w:p>
      <w:pPr>
        <w:pStyle w:val="Heading2"/>
      </w:pPr>
      <w:r>
        <w:t>Erwägungen</w:t>
      </w:r>
    </w:p>
    <w:p>
      <w:r>
        <w:rPr>
          <w:b/>
        </w:rPr>
        <w:t>E. 1</w:t>
      </w:r>
    </w:p>
    <w:p>
      <w:r>
        <w:t>La décision attaquée concerne un plan cantonal pour un projet de construction de route. Un tel plan est défini aux art. 11 ss de la loi sur les routes (LRou; BLV 725.01) L'art. 13 al. 4 LRou prévoit l'application, par analogie, des règles sur la procédure d'adoption des plans d'affectation cantonaux. Il s'ensuit que la décision par laquelle le département statue sur le plan routier et les oppositions peut faire l'objet d'un recours de droit administratif au Tribunal cantonal avec libre pouvoir d'examen (art. 15 al. 2 de la loi sur l'aménagement du territoire et les constructions du 4 décembre 1985 [LATC; BLV 700.11], actuel art. 43 al. 2 LATC). Le recours a été déposé en temps utile (art. 95 de la loi du 28 octobre 2008 sur la procédure administrative [LPA-VD; BLV 173.36]) et il respecte les exigences légales de motivation (art. 76, 77 et 79 LPA-VD, par renvoi de l'art. 99 LPA-VD). Le recourant, dont la propriété est touchée, a manifestement qualité pour recourir au sens de l'art. 75 LPA-VD. Par conséquent, il y a lieu d'entrer en matière.</w:t>
      </w:r>
    </w:p>
    <w:p>
      <w:r>
        <w:rPr>
          <w:b/>
        </w:rPr>
        <w:t>E. 2</w:t>
      </w:r>
    </w:p>
    <w:p>
      <w:r>
        <w:t>Le projet litigieux, qui est un projet de construction de route cantonale, est matériellement et formellement un plan d'affectation, même s'il contient déjà l'autorisation de réaliser les travaux (cf. ATF 112 Ib 164). Pour la réalisation de cet ouvrage, deux procédures successives pourraient être nécessaires, celle du projet routier (art. 11 ss LRou) puis la procédure d'expropriation, afin d'acquérir la surface de l'emprise. Le droit cantonal prévoit expressément, lorsque des terrains doivent être acquis et qu'il n'est pas possible de le faire de gré à gré ni par remaniement parcellaire, que "les expropriations nécessaires à la réalisation de l'ouvrage font l'objet d'une procédure distincte; la loi sur l'expropriation est applicable" (art. 14 al. 2 LRou). Cette procédure subséquente comporte, le cas échéant, une nouvelle décision, prise par le Département des finances, qui statue sur l’intérêt public du projet et les emprises sur fonds privés nécessaires à sa réalisation (art. 23 de la loi vaudoise sur l’expropriation du 25 novembre 1974 [LE; BLV 710.01]). Cette décision ne peut cependant pas modifier le projet de construction adopté selon la procédure des art. 11 ss LRou.</w:t>
      </w:r>
    </w:p>
    <w:p>
      <w:r>
        <w:rPr>
          <w:b/>
        </w:rPr>
        <w:t>E. 3</w:t>
      </w:r>
    </w:p>
    <w:p>
      <w:r>
        <w:t>al. 2 OAT; cf. ATF 129 II 63 consid. 3.1). bb) En vertu notamment de l'art. 2 al. 1 let. b OAT, les autorités doivent en principe examiner, compte tenu du développement spatial souhaité, quelles possibilités et variantes entrent en ligne de compte. D'une manière générale, le principe de proportionnalité (art. 5 al. 2 Cst.), qui prévaut pour l'ensemble de l'activité étatique, peut commander l'examen de variantes au regard de la pesée d'intérêts qui lui est inhérente. Ce principe est notamment concrétisé dans de nombreuses dispositions en matière d'aménagement du territoire, du droit de l'environnement ou de la protection de la nature (cf. TF 1C_208/2023 du 4 mars 2025 consid. 2.1 et les références; Pierre Tschannen, Intrressenabwängung bei raumwiksamen Vorhaben, DEP 2018, p. 111 ss). Bien que certains choix de l'autorité soient guidés par une logique de l'action ou de l'opportunité, la concrétisation d'un projet doit quant à elle toujours s'inscrire dans un cadre juridique, qui peut impliquer une réflexion sur les variantes à envisager. Dans le cadre de la justification publique d’un ouvrage nécessitant expropriation, l’autorité devra ainsi motiver, en application du principe de proportionnalité, le choix de l’emplacement approprié de l’ouvrage et si une modification du projet présenterait un coût ou des inconvénients majeurs (Anne-Christine Favre, L’examen des variantes d’un projet en droit de l’aménagement du territoire et de l’environnement – Entre opportunité et légalité, Mélanges en l’honneur de Pierre Moor, Berne 2005, p. 687 ss). Dans le cas particulier, le principe de la proportionnalité impose d’examiner l’ensemble des solutions de nature à porter l’atteinte la moins grave aux libertés et intérêts qui entrent en ligne de compte. Il incombe à l'autorité de recours de contrôler le résultat de la pesée des intérêts, en fonction de ces principes. Il s’agit là d’une question de droit (Heinz Aemisegger/Stephan Haag, Commentaire LAT, 2010, n° 74 ad art. 33 LAT). Le droit fédéral n'oblige toutefois pas, de façon générale, l'auteur du projet à élaborer des projets alternatifs et il n'exige de toute manière pas une analyse des variantes aussi détaillée que celle qui est faite pour le projet lui-même. L'examen des variantes doit être d'autant plus détaillé que des normes contraignantes protègent expressément des intérêts menacés par le projet, à l'instar de l'art. 3 de la loi fédérale du 1 er juillet 1966 sur la protection de la nature ( LPN; RS 451, cf. ATF 137 II 266 consid. 4) et de l'art. 5 al. 2 let. a de la loi fédérale sur les forêts du 4 octobre 1991 (LFo; RS 921.0) pour l'autorisation exceptionnelle de défrichement. Il s'impose lorsque la législation exige un emplacement justifié par la destination du projet (cf. TF 1C_208/2023 du 4 mars 2025 consid. 2.1 et les références). Il s'agit notamment d'examiner s'il existe d'autres sites ou tracés plus respectueux du paysage, des habitats, des sites construits et de la forêt. L'autorité n'est toutefois tenue d'examiner plus en détail que les variantes entrant sérieusement en ligne de compte; d'autres variantes peuvent déjà être éliminées sur la base d'un examen sommaire (ATF 139 II 499 consid. 7.3.1 et les références; TF 1C_208/2023 du 4 mars 2025 consid. 2.1 et les références). Il faut encore rappeler que même lorsqu'il dispose d'un plein pouvoir d'examen, le juge doit respecter la latitude de jugement dont dispose l'autorité de planification dans le cadre d'une pesée des intérêts en présence. Il doit certes rectifier une décision erronée, mais peut s'en remettre au choix de l'autorité inférieure entre plusieurs solutions appropriées (cf. TF 1C_97/2017 du 19 septembre 2017 consid. 5.1 et les références). b) L'art. 1 let. a LVC prévoit que cette loi régit les principes que les cantons et les communes doivent respecter en matière de planification, d'aménagement et d'entretien des réseaux de voies cyclables. Selon l'art. 2 LVC, les réseaux de voies cyclables sont des voies de communication interconnectées et continues destinées aux cyclistes et dotées de diverses infrastructures. L'art. 3 LVC prévoit que les réseaux de voies cyclables pour la vie quotidienne se trouvent en règle générale à l'intérieur des zones urbanisées ou entre celles ci (al. 1). Ils comprennent des routes, des routes dotées de bandes cyclables, des voies express cyclables, des pistes cyclables, des chemins, des parkings à vélos et d'autres infrastructures du même type (al. 2). Ils desservent et relient notamment les zones résidentielles, les lieux de travail, les écoles, les arrêts de transports publics, les établissements publics, les commerces, les installations de loisirs et sportives et les réseaux de voies cyclables pour les loisirs (al. 3). L'art. 6 LVC régit les principes en matière de planification des réseaux de voies cyclables. Il a la teneur suivante: " Art. 6 Principes en matière de planification Les autorités responsables de la planification des réseaux de voies cyclables veillent en principe: a.       à ce que les voies cyclables soient interconnectées et continues et desservent notamment les lieux importants visés aux art. 3, al. 3, et 4, al. 3; b.       à ce que les réseaux soient suffisamment denses et à ce que les voies cyclables suivent un tracé direct; c.       à ce que les réseaux disposent de voies cyclables sûres et séparent le trafic cycliste du trafic motorisé et de la mobilité piétonne lorsqu’une telle séparation est réalisable et opportune; d.       à ce que les réseaux soient dotés de voies cyclables de qualité homogène; e.       à ce que les réseaux soient attrayants et à ce que les réseaux de voies cyclables pour les loisirs permettent aux cyclistes de bien se détendre. " c) En l’espèce, la piste cyclable est prévue entre deux zones urbanisées (celle de St-Barthélémy et celle d'Echallens), conformément à ce que prescrit l’art. 3 al. 1 LVC. Elle permettra aux habitants de Saint-Barthélémy, notamment les enfants, de se rendre à vélo dans les établissements scolaires (notamment le futur gymnase d’Echallens), à la gare, dans les établissements publics, les commerces ainsi que les installations de loisirs et sportives qui se trouvent à Echallens, ceci de manière plus directe et aisée qu’en recourant à l’itinéraire utilisant les chemins vicinaux mentionné par le recourant, étant encore relevé que la piste cyclable présente l’avantage d’être entretenue par la DGMR (cf. procès-verbal de l’audience). Le projet respecte ainsi l'art. 6 let. b LVC qui prévoit que les voies cyclables doivent suivre un tracé "direct". Dans ces conditions, le recourant ne saurait être suivi lorsqu’il soutient que le projet ne répond à aucun besoin. La piste cyclable contribuera à offrir une alternative performante à la voiture et à augmenter la part modale du vélo, ce qui participera à réduire la pollution conformément au Plan climat. Pour ce qui est de l’utilisation actuelle de la RC 306 par les cyclistes, le recourant soutient que ceux-ci sont très peu nombreux. Le tribunal relèvera que ce constat n’est pas étonnant vu l’importance du trafic (5'800 véhicules/jour), la limitation de vitesse à 80 km/h et la relative étroitesse de la route, éléments qui, à l’heure actuelle, sont clairement dissuasifs pour les cyclistes. Le projet vise à remédier à ce problème puisqu’il améliorera la sécurité de manière importante sur le tronçon Saint-Barthélémy-Echallens en séparant les vélos de la chaussée. Pour ce qui est de l’intérêt public du projet, il ressort de la carte du réseau cantonal structurant figurant dans la stratégie vélo 2035 que ce réseau vise notamment à relier d’une part Bioley-Orjulaz à Echallens, d’autre part Echallens à Penthalaz en tenant compte des localités intermédiaires, dont Saint-Barthélémy. Dans ces circonstances, il était cohérent de profiter des travaux d’élargissement de la RC 306 (mise à niveau aux standards des routes cantonales) pour réaliser un piste cyclable qui, ultérieurement, pourra se connecter à d’autres tronçons en direction de Bioley-Orjulaz et de Penthalaz et s’inscrira ainsi de manière logique dans le réseau cyclable cantonal projeté. Cette piste cyclable aura également une fonction de rabattement sur la gare LEB d’Echallens. Ceci répond clairement aux objectifs de la stratégie cantonale 2035, qui a été avalisée par le Conseil d’Etat et le Grand-Conseil. Cette stratégie fait partie du programme de législature du Conseil d’Etat, qui prévoit de la mettre en œuvre en soutenant la réalisation d’un réseau cantonal structurant en collaboration avec les régions, les agglomérations et les commune. Or, c’est ce qui est fait en l’espèce, le projet étant notamment soutenu par les trois communes concernées. De manière générale, le tribunal relèvera que vu le peu de pistes cyclables dans le canton de Vaud (notamment en comparaison intercantonale et en particulier hors des agglomérations), la réalisation d'une piste cyclable telle que celle qui est litigieuse répond à un intérêt public important en tant que maillon du réseau qui est en cours de réalisation, le but étant d'avoir à terme des voies interconnectées et continues (art. 2 LVC), ceci permettant de répondre à l’objectif de promotion de la mobilité douce voulue par le canton. On peut également rappeler que, selon la stratégie vélo 2035, le besoin d'intervention est le plus fort sur le réseau cyclable utilitaire étant donné qu'il est constitué d'itinéraires se déployant majoritairement le long des routes cantonales présentant un trafic automobile important et un différentiel de vitesse élevé, ce qui est précisément le cas du tronçon entre Saint-Barthélémy et Echallens. La stratégie vélo 2035 mentionne également que, sur le réseau utilitaire structurant, les standards d'équipement visent une protection optimale des cyclistes, en principe grâce à des aménagements séparés du trafic motorisé et, si possible, des piétons, ce qui est le cas du projet litigieux. Pour ce qui est des intérêts publics en jeu, le recourant invoque un problème de sécurité publique qui serait lié aux emplacements choisis pour les arrêts de bus. Dès lors que ces derniers seront autobloquants afin de garantir la sécurité du passage pour les piétons, cet élément n’est pas déterminant dans la pesée des intérêts. Pour le surplus, le projet litigieux ne porte pas atteinte à d’autres intérêts publics. La vision locale a ainsi confirmé qu’il n'aura pas d’impact significatif sur les milieux naturels et le paysage. d) aa) Les éventuelles atteintes aux intérêts privés du recourant concernent essentiellement les impacts du projet sur son exploitation agricole. A cet égard, le tribunal (qui comprend un juge assesseur agriculteur) relève, notamment sur la base des constatations faites lors de la vision locale, qu’il n’y a a priori pas lieu de douter que l'accès à la parcelle du recourant pour la réalisation des travaux agricoles pourra être maintenu de manière satisfaisante. Il n’y a également a priori pas lieu de douter que, le moment venu, des solutions seront trouvées pour que le stockage des matériaux s’effectue sans porter excessivement atteinte à l’exploitation agricole. Le même constat peut être fait en ce qui concerne l'impact sur les terres agricoles en raison de la déclivité, des matériaux de chantier, gravas, huiles et substances salines, problèmes qui devront être pris en compte lors de la réalisation des travaux. Sur ces différents points, on note qu’un éventuel risque d'impact dommageable de travaux relève du droit civil et n'est pas déterminant s'agissant d’un recours contre une décision qui, comme en l’espèce, a été délivrée en application du droit public (cf. CDAP AC.2018.0390 du 3 juin 2019 consid. 4). bb) Pour ce qui est des variantes, la seule qui pourrait entrer en ligne de compte serait la réalisation de la piste cyclable du côté Nord de la RC 306. Celle-ci ne présente toutefois pas d’avantage puisqu’elle impliquerait également des emprises sur des terrains agricoles, ce que le recourant a au demeurant admis lors de l’audience. Pour le surplus, le tribunal n’a pas de raison de mettre en cause les explications donnée par la DGMR qui ont justifié le choix d’implanter la piste cyclable du côté Sud de la route, explications de nature essentiellement techniques qui ne sont pas remises en cause par le recourant. Le tribunal n’a également pas de raison de mettre en cause le choix de réaliser une piste cyclable plutôt qu’une bande cyclable ou un trottoir mixte. La variante piste cyclable, qui sépare complètement le trafic cycliste du trafic motorisé, est en effet clairement la plus favorable au plan de la sécurité, ceci aussi bien pour les cyclistes que pour les automobilistes. On note également que la piste cyclable projetée présente l’avantage d’être bidirectionnelle et sur un seul côté de la route, ce qui limite les emprises sur les SDA. En conclusion, le tribunal relèvera qu’il n’existe pas de variante qui serait clairement plus favorable au regard des intérêts publics et privés en jeu. e) Vu ce qui précède, la pesée d’intérêts effectuée par l’autorité intimée ne prête pas le flanc à la critique, étant rappelé que le juge doit respecter la latitude de jugement dont dispose l'autorité de planification dans le cadre d'une pesée des intérêts en présence. Le tribunal relèvera en dernier lieu qu’on ne saurait remettre en cause la pesée d’intérêts qui a été effectuée pour les motifs financiers mis en avant par le recourant. La question du coût de l’opération n’a en effet pas à être coordonnée dans le cadre de la procédure d’adoption du plan routier et ne doit ainsi pas être prise en compte dans la pesée d’intérêts qu.xige cette procédure.</w:t>
      </w:r>
    </w:p>
    <w:p>
      <w:r>
        <w:rPr>
          <w:b/>
        </w:rPr>
        <w:t>E. 4</w:t>
      </w:r>
    </w:p>
    <w:p>
      <w:r>
        <w:t>Le recourant soutient que c'est à tort que l'emprise sur les SDA a été admise. Il invoque à cet égard l'absence d'un rapport de priorisation par le Conseil d'Etat des emprises sur les SDA qui font l'objet d'une compensation. La DGMR fait valoir sur ce point que, devant l'impossibilité de compenser les emprises sur les SDA, elle a conclu à la nécessité de prendre cette différence sur la marge cantonale et a par conséquent demandé que le projet soit exempté de l'obligation de compensation. Elle indique que le Conseil d'Etat s'est prononcé favorablement sur le principe le 22 juin 2022. En relation avec la question des SDA, la DGTL constate pour sa part que l'implantation des travaux de réaménagement et de sécurisation de la RC 306 ne peut prendre place ailleurs qu'autour du tracé déjà existant de la RC 306. Elle fait valoir que l'intérêt public que constitue la protection des SDA et les intérêts privés du recourant doivent, dans la balance des intérêts, céder le pas aux intérêts publics prépondérants que constituent la mise à niveau des standards des routes cantonales et la sécurité de tous les usagers circulant sur cette route (à savoir la sécurité routière, mais également celle des cyclistes circulant sur ce tronçon). Elle précise que le projet routier fait partie de la liste des projets pouvant empiéter sur les SDA identifiés à la mesure F12 du PDCn (celle-ci faisant expressément mention à la mesure A22 qui détaille les projets routiers). Elle indique ainsi avoir délivré l'autorisation spéciale aux conditions que toutes les emprises en zone agricole soient intégrées au domaine public des routes par élargissement de ceux-ci et que le rapport explicatif sur les SDA ainsi qu'un plan des emprises soient joint au dossier d'enquête publique. a) aa) L'art.15 al. 3 LAT relatif aux zones à bâtir prévoit que l'emplacement et la dimension des zones à bâtir doivent être coordonnés par delà les frontières communales en respectant les buts et les principes de l'aménagement du territoire. En particulier, il faut maintenir les SDA et préserver la nature et le paysage. L’art. 3 LAT relatif aux principes régissant l’aménagement prévoit que le paysage doit être préservé et qu’il convient notamment de réserver à l’agriculture suffisamment de bonnes terres cultivables, en particulier les SDA (art. 3 al. 2 let. a OAT). Selon l’art. 26 OAT, les SDA sont des parties du territoire qui se prêtent à l'agriculture (art. 6 al. 2 let. a LAT) et qui doivent être préservées en vertu de l'art. 3 al. 2 let. a OAT; elles se composent des terres cultivables comprenant avant tout les terres ouvertes, les prairies artificielles intercalaires et les prairies naturelles arables; elles sont garanties par des mesures d’aménagement du territoire (al. 1).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l'art. 26 al. 3 OAT, une surface totale minimale d’assolement a pour but d’assurer au pays une base d’approvisionnement suffisante, comme l’exige le plan alimentaire, dans l’hypothèse où le ravitaillement serait perturbé (al. 3). Sur la base des surfaces minimales arrêtées dans le plan sectoriel de la Confédération (art. 29 OAT), les cantons définissent les SDA dans leur plan directeur, dans le cadre de la délimitation des autres parties du territoire qui se prêtent à l'agriculture (art. 28 OAT). Le plan sectoriel des SDA de la Confédération de février 1992 (PSSDA 1992) exige du Canton de Vaud qu'il garantisse une surface minimale de 75'800 ha (FF 1992 II p. 1616). Cette exigence a été maintenue lors du remaniement du plan sectoriel des SDA approuvé par le Conseil fédéral le 8 mai 2020 (FF 2020 p. 5615, PSSDA 2020, ch. 3.2 p. 11). bb) L' art. 30 al. 1 OAT précise que les cantons veillent à ce que les SDA soient classées en zones agricoles; ils indiquent dans leur plan directeur les mesures nécessaires à cet effet. L'art. 30 al. 1 bis OAT prévoit que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L'art. 30 al. 1 bis OAT a pour but de tenir compte de la nécessité de maintenir les SDA (cf. art. 15 al. 3 LAT ) en durcissant les exigences à satisfaire lorsqu'il est question de recourir à des SDA pour créer des zones à bâtir. Cette disposition s'applique lorsque les cantons disposent de réserves de SDA. Elle impose de s'assurer que le sacrifice de SDA pour la création de zones à bâtir est absolument nécessaire du point de vue du canton. L'autorité de planification doit examiner quelles alternatives pourraient raisonnablement entrer en considération (TF 1C_102/2019 du 17 août 2020 consid. 4.1; sur l'ensemble de ce paragraphe, cf. ATF 145 II 32 consid. 7.2; TF 1C_389/2020, 1C_394/2020 du 12 juillet 2022 consid. 2.1). Selon l’art. 30 al. 2 OAT, les cantons doivent s’assurer que leur part de la surface totale minimale d’assolement soit garantie de façon durable. Selon le Tribunal fédéral (ATF 145 II 11 consid. 3), il en résulte que toute disparition de SDA portant leur aire totale à un niveau inférieur au quota cantonal doit en principe être compensée. Au vu de la marge cantonale existante, le Canton de Vaud n'est pas tenu de prendre des mesures spécifiques pour assurer le maintien des SDA au sens de l'art. 30 al. 2 OAT (TF 1C_546/2021 du 8 septembre 2023 consid. 7.3). Pour ce qui est de cette marge cantonale, la CDAP a notamment relevé dans un arrêt du 12 septembre 2024 (soit à l’époque où la décision attaquée a été rendue) que l'inventaire des SDA totalisait 76'070.94 hectares, soit une marge nette de 270.94 hectares par rapport au contingent à préserver (CDAP AC.2022.0357, AC.2022.0370, AC.2022.0373 du 12 septembre 2024 consid. 13a/cc). Ainsi, la jurisprudence n'exclut pas que des SDA puissent être utilisées à des fins autres qu'agricoles. Toutefois, il convient d'opérer une pesée d'intérêts complète (art. 3 OAT), tenant notamment compte du fait que la part cantonale de SDA doit être garantie à long terme (art. 30 al. 2 OAT). Un examen des sites alternatifs doit avoir lieu (ARE, PSSDA, 8 mai 2020, principe P1, p. 12 et p. 16). Il y a lieu en outre d'évaluer dans quelle mesure le terrain concerné pourrait à nouveau être cultivé et, lorsque la surface minimale cantonale n'est pas atteinte ou ne l'est que de peu, une compensation doit être opérée (ATF 145 II 18 consid. 4.1, 32 consid. 7.1; 134 II 217 consid. 3.3; voir aussi TF 1C_243/2020 du 8 septembre 2021 consid. 5.2; 1C_102/2019 du 17 août 2020 consid. 4.1; cf. aussi CDAP AC.2023.0144 du 14 mars 2024 consid. 5a). Faute de base légale claire, une obligation systématique de compensation n'est ainsi pas imposée lorsque le canton dispose de réserves de SDA. Une telle compensation, totale ou partielle, peut en revanche constituer un critère important pour juger de l'admissibilité de l'opération (ATF 145 II 18 consid. 4.2, 32 consid. 7.2). cc) Au niveau cantonal, la mesure F12 du PDCn, intitulée "Surfaces d'assolement", prévoit, à titre de mesure stricto sensu (texte sur fond gris), en particulier que le canton et les communes protègent durablement les SDA afin de les maintenir libres de constructions et de préserver leur fertilité. Leur protection est intégrée dans toutes les politiques sectorielles à incidence territoriale. En particulier, le développement projeté des habitants et des emplois ainsi que des infrastructures et des services correspondants se déploiera en priorité hors des SDA. Les projets qui empiètent sur les SDA ne peuvent être réalisés que si le potentiel des zones légalisées et des projets qui n'empiètent pas sur les SDA ne permettent pas de répondre aux besoins dans le périmètre fonctionnel du projet. Le contingent cantonal de 75'800 ha est garanti de manière durable et en tout temps. Tout projet nécessitant d'empiéter sur les SDA doit apporter une justification de cette emprise conformément à l'art. 30 OAT. Si la marge de manœuvre n'est pas suffisante, le canton priorise les projets et peut suspendre si nécessaire l'approbation des plans d'aménagement du territoire ou l'autorisation des projets relevant de sa compétence. La rubrique "Principes de mise en œuvre" de la mesure F12 prévoit que les objectifs que le canton estime importants au sens de l'art. 30 OAT sont définis dans une liste, qui précise également les conditions de son application pour chacune des politiques concernées. L'appartenance d'un projet à une catégorie de la liste, si elle constitue un indice, n'exempte pas les autorités de mener une pesée des intérêts qui concrétise, explicitement, lors de la procédure d'affectation ou du projet, en quoi le projet répond à un objectif que le canton estime important. Il peut s'agir des projets nécessaires notamment à la mise en œuvre d'une politique sectorielle à incidence territoriale fédérale ou cantonale. Cette liste comprend la mesure A22, soit les réseaux routiers (avec comme condition "selon la liste des projets prévus par la mesure A22") et la mesure A23, soit les projets de mobilité douce (avec comme condition "projets de mobilité douce"). b) En l'occurrence, Il n'est pas contesté que le projet s'inscrit entièrement sur des SDA de qualité 1. Cela étant, la création de la piste cyclable, en tant que projet de mobilité douce, est considérée comme importante par le canton de Vaud puisqu'il l'a intégrée dans sa liste de projets pouvant empiéter sur les SDA. La validation par le Conseil d'Etat de la mise à disposition de la marge cantonale pour le projet démontre l'importance qui lui est accordée. Le tribunal relèvera pour sa part une nouvelle fois que vu le peu de pistes cyclables dans le canton de Vaud (notamment en comparaison intercantonale et en particulier hors des agglomérations), la réalisation d'une piste cyclable telle que celle qui est litigieuse répond à un intérêt public important en tant que maillon du réseau qui est en cours de réalisation, le but étant d'avoir à terme des voies interconnectées et continues (art. 2 LVC) afin de répondre à l’objectif de promotion de la mobilité douce voulue par le canton et de mettre en œuvre la stratégie vélo 2035. On ne voit au surplus pas comment une piste cyclable reliant de manière directe Saint-Barthélémy à Echallens pourrait être réalisé sans emprise sur les SDA, emprises qui sont limitées autant que possible. Il n'existe pas de variantes concevables permettant de limiter les emprises sur les SDA. Ainsi que cela ressort du rapport SDA du 1 er avril 2022, dont le tribunal n'a pas de raison de s'écarter, les variantes "trottoir mixte" et "bande cyclable" n'entrent pas en considération dans la mesure où elles ne garantissent pas la sécurité des cyclistes et ne sont pas en adéquation avec la stratégie vélo 2035. Dans ces conditions, le projet respecte les exigences de l'art. 30 al. 1 bis OAT, étant rappelé que l'art. 30 al. 2 OAT ne trouve pas application dès lors le canton dispose de réserves de SDA. Une obligation de compensation ne saurait ainsi être exigée dans le cas d'espèce.</w:t>
      </w:r>
    </w:p>
    <w:p>
      <w:r>
        <w:rPr>
          <w:b/>
        </w:rPr>
        <w:t>E. 5</w:t>
      </w:r>
    </w:p>
    <w:p>
      <w:r>
        <w:t>Le recourant soutient que le projet ne peut pas se fonder sur une base légale suffisante. Il fait valoir dans ce cadre que celui-ci concerne une voie cyclable pour les loisirs au sens de l'art. 4 LVC et non pas une voie cyclable pour la vie quotidienne au sens de l'art. 3 LVC. a) Une restriction à la garantie de la propriété ancrée à l'art. 26 al.1 Cst. doit reposer sur une base légale. Lorsque l'atteinte est grave, outre que la base légale doit être une loi au sens formel, celle-ci doit être claire et précise (ATF 147 I 393 consid. 4.3.1).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III 633 consid. 4.3). b) Comme le relève la DGMR (cf. déterminations du 23 avril 2025), la création de pistes cyclables sur les routes cantonales a pour objectif de permettre à tout un chacun d'accomplir de manière sécurisée la plupart de leurs trajets de la vie quotidienne à vélo (pour se rendre à leur travail, à leurs activités de loisirs, etc.). La piste cyclable projetée est par conséquent destinée à faire partie du réseau de voies cyclables pour la vie quotidienne au sens de l'art. 3 LVC et non pas du réseau de voies cyclables pour les loisirs au sens de l'art. 4 LVC, étant souligné que, comme le relève le recourant, un tel réseau existe déjà dans le secteur avec l'itinéraire n° 475 de Swiss Mobile (boucle champêtre du Gros-de-Vaud). Dans ces conditions, on peut constater que la restriction aux droits fondamentaux du recourant qu'implique la réalisation de la piste cyclable séparée de la route est prévue dans une base légale au sens formel, soit les art. 1 let. a LVC, 2 LVC, 3 LVC et 6 (notamment let. b et c) LVC. On peut encore relever que, mises à part les dispositions de la LVC mentionnées ci-dessus, tout projet routier repose sur une base légale formelle, soit l'art. 13 LRou, qui, on l'a vu, renvoie à la procédure des plans d'affectation. Le grief relatif au défaut de base légale n'est par conséquent pas fondé.</w:t>
      </w:r>
    </w:p>
    <w:p>
      <w:r>
        <w:rPr>
          <w:b/>
        </w:rPr>
        <w:t>E. 6</w:t>
      </w:r>
    </w:p>
    <w:p>
      <w:r>
        <w:t>Le recourant invoque une violation de l'art. 5 LVC. Il soutient que, contrairement à ce qu'exige cette disposition, aucune planification des réseaux de voies cyclables n'est disponible dans le Canton de Vaud et n'a été mise en consultation. Il conteste que la stratégie vélo 2035 ou le PDCn constitue une telle planification. a) L'art. 5 LVC a la teneur suivante: " 1 Les cantons veillent: a.    à l’établissement des plans des réseaux, existants ou en projet, de voies cyclables pour la vie quotidienne et les loisirs; b.    à la révision périodique des plans et, au besoin, à leur remaniement. 2 Les plans sont contraignants pour les autorités. Les cantons en fixent les autres effets juridiques et règlent la procédure relative à leur établissement et à leur modification. S’ils délèguent la planification des réseaux de voies cyclables communales à leurs communes, ils veillent à l’accomplissement des tâches visées à l’al. 1. 3 Les personnes concernées et les organisations intéressées doivent être associées à la planification. 4 Les plans sont publics. Ils doivent être accessibles en version électronique. " b) En l'occurrence, une planification du réseau cyclable a d’ores et déjà été réalisée par le Canton de Vaud dans le cadre de la stratégie vélo 2035. La question de savoir si ceci répond à l’exigence posée à l’art. 5 LVC souffre de demeurer indécise. En effet, quoi qu’il en soit, l'art. 19 LVC donne aux cantons un délai de 5 ans dès l'entrée en vigueur de la loi (soit dès le 1 er janvier 2023) pour établir les plans en question, délai qui n’est pas échu. Pour le surplus, le recourant ne saurait être suivi lorsqu’il prétend qu’aucune piste cyclable ne devrait être réalisée avant que la planification requise par l'art. 5 LVC soit établie. Vu la planification réalisée dans le cadre de la stratégie vélo 2035 (planification qui inclut le tronçon litigieux), l’intérêt public que représente la mise en œuvre de cette stratégie et le retard pris par le Canton de Vaud, il n’existe pas de raison qui justifierait de retarder la mise en œuvre de cette stratégie.</w:t>
      </w:r>
    </w:p>
    <w:p>
      <w:r>
        <w:rPr>
          <w:b/>
        </w:rPr>
        <w:t>E. 7</w:t>
      </w:r>
    </w:p>
    <w:p>
      <w:r>
        <w:t>Le recourant invoque une violation du principe de coordination prévu à l'art. 7 LVC dès lors que le projet est suspendu en tant qu'il concerne la RC 313. Il mentionne également un problème de coordination dès lors que selon le plan d'affectation communal (PACom) mis récemment en consultation une partie de sa parcelle sera en zone intermédiaire 1, ce qui implique que cette partie pourrait à l'avenir (environ une dizaine d'années) être colloquée en zone à bâtir ou zone artisanale, ce qui posera selon lui un problème d'accès sur la route cantonale. a) L'art. 7 LVC a la teneur suivante: " Art. 7 Coordination 1 Les autorités responsables des voies cyclables coordonnent leurs réseaux de voies cyclables. 2 Elles coordonnent leur planification avec les tâches ayant une incidence sur l’aménagement du territoire qui sont assumées par d’autres autorités. " Selon le commentaire des dispositions de la LVC figurant dans le message du Conseil fédéral (FF 2021 1260, ci-après: le Message), l'art. 7 al. 1 LVC signifie que la Confédération, les cantons et les communes doivent se coordonner. On ne voit pas en quoi le projet pose problème à cet égard. Pour ce qui est de l'art. 7 al. 2 LVC, le Message indique qu'il faut également veiller à ce que la Confédération, les cantons et les communes coordonnent leur planification avec les autres autorités assumant des tâches ayant des effets sur l'organisation du territoire conformément à l'art. 2 LAT. Il est précisé que, dans la pratique, les voies cyclables sont souvent affectées à plusieurs utilisations, par exemple parce que leur tracé suit des routes, des cours d'eau ou des chemins agricoles ou forestiers. Il est donc important que les autorités responsables de la planification des réseaux de voies cyclables harmonisent leurs plans de réseau et les coordonnent avec les autres plans qui ont une incidence sur l'aménagement du territoire, tels que les plans routiers ou les plans de protection des eaux. En l'espèce, les exigences de l'art. 7 al. 2 LVC sont respectées puisque les projets de réfection de la RC 306 et de réalisation de la piste cyclable sont coordonnés et font l'objet d'un seul plan. On note au surplus que, selon les explications données par la Commune d’Echallens, une collocation de la parcelle du recourant en zone à bâtir n’est pas envisagée. Partant, le projet ne soulève également pas de problème de coordination à cet égard .</w:t>
      </w:r>
    </w:p>
    <w:p>
      <w:r>
        <w:rPr>
          <w:b/>
        </w:rPr>
        <w:t>E. 8</w:t>
      </w:r>
    </w:p>
    <w:p>
      <w:r>
        <w:t>Il ressort des considérants qui précèdent que le recours doit être rejeté et la décision attaquée confirmée. Vu le sort du recours, les frais de la cause sont mis à la charge du recourant. Il n’y a pas lieu d’allouer de dépens dès lors qu’aucune des autres parties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