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AC.2024.0345 vom 16. Dezember 2025</w:t>
      </w:r>
    </w:p>
    <w:p>
      <w:r>
        <w:t>VD Tribunal cantonal, 2025-12-16, FR</w:t>
      </w:r>
    </w:p>
    <w:p>
      <w:r>
        <w:rPr>
          <w:b/>
        </w:rPr>
        <w:t xml:space="preserve">Quelle: </w:t>
      </w:r>
      <w:r>
        <w:t>https://mcp.opencaselaw.ch/entscheid/vd_omni_AC.2024.0345</w:t>
      </w:r>
    </w:p>
    <w:p>
      <w:r>
        <w:t>FR: VD_OMNI AC.2024.0345 du 16 décembre 2025</w:t>
      </w:r>
    </w:p>
    <w:p>
      <w:r>
        <w:t>IT: VD_OMNI AC.2024.0345 del 16 dicembre 2025</w:t>
      </w:r>
    </w:p>
    <w:p>
      <w:pPr>
        <w:pStyle w:val="Heading2"/>
      </w:pPr>
      <w:r>
        <w:t>Regeste</w:t>
      </w:r>
    </w:p>
    <w:p>
      <w:r>
        <w:t>A.________/Direction générale du territoire et du logement, Municipalité de Saint-Livres | Bâtiments d'une exploitation agricole qui, à la date déterminante (1er juillet 1972, éventuellement 18 avril 1984, date de l'approbation du PGA en vigueur), comprenaient une ferme qui présentait une structure tripartite typique des fermes vaudoises (allée fourragère, écurie, et logement de l'exploitant agricole et de sa famille) ainsi qu'un second bâtiment. Ultérieurement, permis de construire délivré pour la transformation de la ferme et de l'autre bâtiment avec la création de deux logements supplémentaires occupés par des non-agriculteurs. Les transformations, réalisées dans les années 1990, incluaient notamment la réalisation de sept lucarnes, dont trois grandes lucarnes sur les pans de toiture de la ferme ainsi que de nouvelles ouvertures. Elles comprenaient également la réalisation d'une buanderie entre les deux bâtiments, d'un couvert à voiture et de 4 places de parc extérieures. Ultérieurement, autorisations délivrées pour la réalisation d'une chambre de traite dans la partie rurale de la ferme, transformée ensuite sans autorisation en studio par le propriétaire. Recours à la CDAP contre le refus de la DGTL de régulariser le studio. Constat que la réalisation du studio respecte l'aspect quantitatif de l'exigence du respect de l'identité de la construction, soit l'agrandissement maximal autorisé selon l'art. 43 al. 3 OAT (consid. 2d). En revanche, la création du studio, soit d'un logement supplémentaire, ne permet plus de respecter l'identité de la construction sous l'aspect qualitatif, ceci compte tenu des atteintes à l'identité des bâtiments d'origine induites par les transformations déjà réalisées dans les années 1990 (consid. 2e). L'ordre de remise en état respecte le principe de la proportionnalité (consid. 3).</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l'autorité intimée. Déposé dans le délai de 30 jours fixé par l’art. 95 LPA-VD, le recours est intervenu en temps utile. Le propriétaire de la parcelle concernée a manifestement qualité pour recourir (art. 75 let. a LPA-VD). Le recours respecte au surplus les conditions formelles énoncées à l’art. 79 LPA-VD (par renvoi de l'art. 99 LPA-VD), de sorte qu'il y a lieu d'entrer en matière sur le fond.</w:t>
      </w:r>
    </w:p>
    <w:p>
      <w:r>
        <w:rPr>
          <w:b/>
        </w:rPr>
        <w:t>E. 2</w:t>
      </w:r>
    </w:p>
    <w:p>
      <w:r>
        <w:t>a) Le bâtiment ECA n° 194, dans lequel a été aménagé le studio litigieux, est situé en zone agricole au sens de l'art. 16 LAT.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de la loi du 4 décembre 1985 sur l'aménagement du territoire et les constructions [LATC; BLV 700.11]). Il n'est pas contesté que le studio litigieux n'est pas utilisé en relation avec une activité agricole. Ce logement n'est ainsi pas conforme à l'affectation de la zone. Une autorisation a posteriori (régularisation) ne pourrait donc être délivrée que dans le cadre d'une dérogation selon les art. 24 ss LAT. b) D'emblée, il convient de constater que les travaux ne peuvent pas être régularisés, respectivement n'auraient pas pu être autorisés, en application des art. 24, 24a, 24b, 24d et 24e LAT. La construction du studio litigieux, postérieure au 1 er juillet 1972, doit par conséquent être examinée à l'aune des possibilités offertes par l'art. 24c LAT, au même titre que le reste des aménagements effectués dans la ferme. c) aa) L’art. 24c LAT, dans sa teneur en vigueur depuis le 1 er novembre 2012, dispose ce qu’il suit: "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A teneur de l'art. 41 al. 1 OAT, l'art. 24c LAT est applicable aux constructions et installations qui ont été érigées ou transformées légalement avant l'attribution du bien-fonds à un territoire non constructible au sens du droit fédéral (constructions et installations érigées selon l'ancien droit). Il n’est en revanche pas applicable aux constructions et installations agricoles isolées et inhabitées (art. 41 al. 2 OAT). La date déterminante est en principe celle du 1 er juillet 1972, moment où le principe de la séparation du territoire bâti et non bâti a été consacré dans la législation fédérale (cf. notamment ATF 129 II 396 consid. 4.2). L'art. 42 OAT, disposition d'exécution de l'art. 24c LAT, précise ce qui suit: "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bb) La transformation partielle ( teilweise Änderung ) et l’agrandissement mesuré ( massvolle Erweiterung ), au sens de l’art. 24c LAT, regroupent les travaux n’équivalant pas à un changement complet d’affectation (selon l’art. 24 LAT). Ils supposent le respect de l'identité de la construction ou de l'installation. L’exigence du respect de l’identité de la construction est à examiner en fonction de l'ensemble des circonstances. Elle comporte un aspect quantitatif et un aspect qualitatif. Selon la jurisprudence, l'" agrandissement mesuré " doit être apprécié dans son ensemble, en comparant l'ampleur des transformations partielles successives intervenues depuis la date de référence avec l'état initial de la construction (cf. à ce propos l'art. 42 al. 2 OAT; ATF 127 II 215 consid. 3, 113 Ib 219 consid. 4d, 112 Ib 277 ; TF 1A.298/2004 du 5 juillet 2005 consid. 3.4).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132 II 21 consid. 7.1.1 et les arrêts cités; 127 II 215 consid. 3a et 3b; 123 II 246 consid. 4; 118 Ib 497 consid. 3a et les références; cf. ég. TF 1C_312/2016 du 3 avril 2017 consid. 3.1; 1C_486/2015 du 24 mai 2016 consid. 3.3.1). Le droit fédéral n'exige pas que l'ancien et le nouveau bâtiment soient tout à fait semblables; l'identité se rapporte bien plutôt aux traits ou aux éléments essentiels de l'ouvrage (en allemand: " die wesentlichen Züge "), à savoir ceux qui revêtent une certaine importance pour l'aménagement du territoire (TF 1C_480/2019 du 16 juillet 2020 consid. 4.1; 1C_128/2018 du 28 septembre 2018 consid. 5.3; cf. également Rudolf Muggli, in Heinz Aemisegger, Pierre Moor, Alexander Ruch, Pierre Tschannen [éds], Commentaire pratique LAT: Construire hors zone à bâtir, 2017, n° 27 ad art. 24c LAT). Il est tout à fait admissible de procéder à un agrandissement en plusieurs étapes, échelonnées dans le temps. Mais on ne peut tirer parti qu'une seule fois de l'agrandissement maximum autorisé. Lorsque plusieurs transformations ont été échelonnées dans le temps, il est prévu d'effectuer le calcul sur la base de l'état (conforme au droit) de la construction au moment de l'entrée en vigueur de la modification de la loi ou du plan d'affectation. Toutes les modifications touchant un même objet sont considérées comme formant un tout et sont comparées au chiffre de l'agrandissement maximal autorisé (Office fédéral du développement territorial [ODT], Nouveau droit de l'aménagement du territoire, Berne 2001, Explications relatives à l'OAT, chap. I, ch. 2.4.4 p. 45 s.). cc) Selon la jurisprudence et la doctrine, pour déterminer les éléments à prendre en considération dans l'augmentation de la surface brute de plancher imputable (SBPI) au sens de l'art. 42 al. 3 let. a et b OAT – notion qui n'est pas définie dans l'OAT – il convient de se référer aux recommandations de l'Office fédéral du développement territorial (ARE) (cf. TF 1C_572/2020 du 30 novembre 2021 consid. 4.5; 1C_48/2017 du 22 décembre 2017 consid. 4.2; CDAP AC.2015.0199 du 25 septembre 2017 consid. 4b; Muggli, op. cit., n° 30 note 64 ad art. 24c LAT). Celles-ci renvoient aux réglementations cantonales définissant la SBPI, pour autant qu’elles s’inspirent des principes définis dans la norme ORL-EPF 514 420 (cf. ARE, Nouveau droit de l’aménagement du territoire – Explications relatives à l’ordonnance sur l’aménagement du territoire et recommandations pour la mise en œuvre, Berne 2001, p. 10) ou la norme SIA 421 (cf. Muggli, op. cit., n° 30 ad art. 24c LAT). Les recommandations de l'ARE donnent aussi une définition de la SBPI, applicable à défaut de règlementation cantonale (cf. ARE, Nouveau droit de l’aménagement du territoire op. cit., 2001, p. 10 et Annexe 1). La norme ORL-EPF 514 420 (dont un extrait est reproduit in Bovay et al., Droit fédéral et vaudois de la construction, 4 ème éd., 2010, p. 603 ch. 4) définit la surface brute de plancher comme suit: "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 les portiques d’entrée ouverts; les terrasses d'attique, couvertes et ouvertes; les balcons et les loggias ouverts pour autant qu'ils ne servent pas de coursive. " La définition subsidiaire donnée par l'ARE à la SBPI est la suivante: " La surface brute de plancher utile (SBPu) [notion qui correspond à la SBPI] se compose de la somme de toutes les surfaces des étages en-dessous et en-dessus du sol, y compris les surfaces des murs et des parois dans leur section horizontale, utilisables en permanence pour l’habitation ou le travail. N’entrent toutefois pas en considération les surfaces d’une hauteur inférieure à 1 m ainsi que les surfaces annexes (englobant les surfaces fonctionnelles et accessoires). Font partie de la SBPu les surfaces d’un bâtiment utilisées ou utilisables pour l’habitation ou le travail. En font également partie les surfaces desservant ces locaux de travail et d’habitation: couloirs, corridors, halls d’entrée; escaliers et rampes; ascenseurs. Ne font pas partie des SBPu (par analogie aux surfaces utiles secondaires au sens de la normes SIA 416 [1993]): les caves, les galetas, les séchoirs, les buanderies [...]; les portiques d’entrée ouverts, les terrasses d’attique, couvertes et ouvertes, les balcons et les loggias ouverts pour autant qu’ils ne servent pas de coursive; (…) (ARE, Nouveau droit de l’aménagement du territoire, op. cit., 2001, Annexe 1, p. 21). " Les recommandations de l'ARE précisent aussi, s'agissant des combles, que les surfaces séparées par une paroi et non utilisables en tant que surfaces annexes en raison d'une hauteur inférieure à 1 m ne sont pas prises en compte dans la SBPI (cf. ARE, Nouveau droit de l’aménagement du territoire, op. cit., 2001, Annexe 2, p. 25). dd) Il ressort notamment de ce qui précède que le fait de satisfaire aux limites de l'agrandissement maximal autorisé ne signifie pas encore qu'une autorisation en application de l'art. 24c LAT doive être accordée: il n'en va ainsi que si l'identité de la construction est préservée (CDAP AC.2024.0267 du 7 janvier 2025 consid. 4c/cc; AC.2019.0123 du 9 octobre 2019 consid. 3b/bb; AC.2018.0034 du 14 février 2019 consid. 2b/bb; AC.2017.0092 du 18 décembre 2017 consid. 3b/bb; Muggli, op. cit., n° 35 s. ad art. 24c LAT). L'art. 24c al. 5 LAT dispose en outre que, dans tous les cas, les exigences majeures de l'aménagement du territoire doivent être respectées. Il s'agit de procéder à un examen global qui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(Muggli, op. cit., n° 28 ad art. 24c). L'art. 42 al. 3 OAT retient la surface utilisée pour un usage non conforme à la zone comme point de référence s'agissant d'apprécier si un agrandissement est ou non mesuré au regard de l'art. 24c al. 2 LAT. L'autorité cantonale, qui examine a posteriori si des travaux de transformation ou de reconstruction déjà réalisés sans autorisation cantonale peuvent être régularisés ou si au contraire un ordre de remise en état ou de démolition doit être prononcé, doit constater les faits pertinents et elle doit examiner d'office la possibilité d'une régularisation (AC.2019.0197 du 5 juin 2020 et les références). d) En l’espèce, il convient d’examiner en premier lieu si la réalisation du studio permet de respecter l’aspect qualitatif de l’exigence du respect de l’identité de la construction, soit l’agrandissement maximal autorisé selon l’art. 42 al. 3 OAT. Ceci implique tout d’abord de déterminer la SBPi qui existait au moment de l’affectation de la parcelle n° 134 à la zone agricole. La DGTL soutient que, à la date déterminante, la SBPi correspondait à 308,96 m 2 , ce qui implique que la réalisation du studio ne respecte pas les exigences de l’art. 42 al. 3 OAT. Pour ce qui est de la SBPi qui existait à la date déterminante, est notamment litigieuse la prise en compte de la surface d’environ 63 m 2 sise au rez-de-chaussée du bâtiment anciennement ECA n° 196 dans lequel se trouve le logement actuel du recourant. Le recourant explique qu’il s’agissait d’un espace habitable dans lequel étaient logés des ouvriers agricoles. Le tribunal n’a pas de raison de mettre en doute ces explications. Les photographies de ce bâtiment avant les travaux réalisés dans les années 1990 figurant au dossier montrent notamment la présence de plusieurs ouvertures dont les dimensions correspondent à celles que l’on retrouve usuellement dans les bâtiments d’habitation, dont une est dotée de volets. Or, on ne voit pas pour quelles raison on aurait installé des volets si l’espace en question avait une affectation agricole. On note également la présence d’une cheminée. La SBPi à la date déterminante doit par conséquent inclure cette surface d’environ 63 m 2 . Si on ajoute 63 m 2 aux 308,96 m 2 admis par la DGTL, on parvient à une SBPi de 371,96 m 2 à la date déterminante. Ceci implique qu’un agrandissement correspondant à 223,76 m 2 est possible en application de l’art. 42 al. 3 et. a OAT (60% de 371,96 m 2 ). Comme les travaux réalisés entre la date de référence et la création du studio ont augmenté la SBPi de 182,96m 2 , la SBPi supplémentaire de 20 m 2 à l’intérieur du volume bâti existant induite par la création du studio litigieux respecte les exigences de l’art. 42 al. 3 OAT. On relèvera que ces exigences sont également respectées si, à la date déterminante, on déduit des 371,96 m 2 une surface de 27,96 m 2 correspondant aux pièces dénommées "WC-bains" et "chambre 2" comme le requiert la DGTL dans son écriture du 16 septembre 2025 après avoir pris connaissance des plans de 1979 relatifs à la construction de la ferme . La question de savoir si cette surface de doit être déduite souffre par conséquent de demeurer indécise. e) Il ressort de ce qui précède que la réalisation du studio satisfait aux limites de l’agrandissement maximal autorisé. On l’a vu, ceci ne signifie pas qu’une autorisation en application de l’art. 24c LAT doive nécessairement être accordée. Il convient en effet encore de vérifier si le projet litigieux respecte l’identité de la construction sous l’aspect qualitatif. Sous l’aspect qualitatif, le tribunal relèvera que les modifications apportées aux bâtiments dans les années 1990, avec notamment la réalisation de velux et de nombreuses lucarnes sur les pans de toitures des bâtiments ECA n os 195 et 196 (impliquant des agrandissements hors volume), l’agrandissement du bâtiment ECA n° 196, le percement de nouvelles ouvertures (ou l’agrandissement d’ouvertures existantes), l’agrandissement d’un balcon sur la façade sud du bâtiment ECA n° 195, la réalisation de terrasses à l’ouest du bâtiment ECA n° 196, d’un abri pour voiture et de places de parc, ont porté une atteinte significative à l’aspect extérieur et par conséquent à l’identité de la ferme d’origine (soit celle existant avant les travaux réalisés dans les années 1990), qui présentait alors l’aspect traditionnel des fermes vaudoises avec sa structure tripartite typique. L’atteinte à l’identité provient également du fait que la ferme, qui accueillait à l’origine uniquement le logement de l’exploitant agricole, comprend depuis les transformations réalisées dans les années 1990 deux logements supplémentaires occupés par des non-agriculteurs, ce qui a eu un impact non négligeable sur l’équipement de la parcelle avec la nécessité de réaliser un garage et des places de stationnement ainsi qu’un élargissement de la jonction entre les bâtiments ECA n os 195 et 196 pour accueillir une buanderie. Vu ce qui précède, en ce qui concerne l’aspect qualitatif, les travaux réalisés dans les années 1990 ont, pour l’essentiel, épuisé les possibilités de transformation des bâtiments ECA n os 195 et 196 selon les art. 24c LAT et 42 OAT, sous réserve de modifications de minime importance . Dans ces conditions, la création d’une unité de logement supplémentaire destinée à des non-agriculteurs n’est pas admissible sous l’angle de ces dispositions, même si elle se limite à un studio de 20 m 2 . On relèvera sur ce point que la création du studio implique probablement la présence d’un véhicule supplémentaire sur la parcelle. Elle induit également un impact supplémentaire sur l’aspect extérieur de la ferme puisqu’elle a nécessité l’ouverture de portes qui étaient à l’origine pleines afin d’y installer des vitres destinées à éclairer le nouveau logement. La note 4 (objet bien intégré) au recensement architectural attribuée au bâtiment sur la base d’un recensement effectué en avril 1992 ne saurait mettre en cause le constat selon lequel les travaux réalisés dans les années 1990 ont épuisé les possibilités de transformation des bâtiments ECA n os 195 et 196. Comme le relève l’autorité intimée, dès lors que le permis de construire a été délivré le 20 août 1991 et le permis d’utiliser (qui porte sur l’ensemble des travaux soumis à enquête publique entre 1991 et 1994) le 23 mai 1995, il est probable que tout ou partie des travaux qui ont porté atteinte à l’identité des bâtiments ECA n os 195 et 1996 n’avaient pas été réalisés en avril 1992 et n’ont pas pu être pris en considération lors du recensement architectural de 1992. 3. a) Selon la jurisprudence, l'ordre de démolir une construction édifiée sans droit et pour laquelle une autorisation ne pouvait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132 II 21 consid. 6; 123 II 248 consid. 3a/bb; TF 1C_182/2023 du 16 août 2024 consid. 4.1.1; 1C_61/2018 du 13 août 2018 consid. 3.1).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1C_292/2016 du 23 février 2017 consid. 5.1; 1C_29/2016 du 18 janvier 2017 consid. 7.1). b) En l’occurrence, le recourant n’invoque pas expressément de grief en relation avec la proportionnalité des mesures de remise en état figurant dans le dispositif de la décision attaquée. Quoi qu’il en soit, il n’existe pas de raison de s’écarter dans le cas d’espèce du principe selon lequel celui qui place l'autorité devant un fait accompli doit s'attendre à ce qu'elle se préoccupe plus de rétablir une situation conforme au droit que d'éviter les inconvénients qui en découlent pour lui. 4. Il résulte des considérants qui précèdent que le recours doit être rejeté et la décision attaquée être confirmée. Succombant, le recourant supportera l’émolument de justice (art. 49 LPA-VD et art. 4 du tarif du 28 avril 2015 des frais judiciaires et des dépens en matière administrative: TFJDA; BLV 173.36.5.1) et n’a pas droit à des dépens (art. 55 LPA-VD). Il n’y a pas lieu d’allouer de dépens aux autres parties dès lors qu’elles n’ont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