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AC.2024.0318 vom 21. November 2025</w:t>
      </w:r>
    </w:p>
    <w:p>
      <w:r>
        <w:t>VD Tribunal cantonal, 2025-11-21, FR</w:t>
      </w:r>
    </w:p>
    <w:p>
      <w:r>
        <w:rPr>
          <w:b/>
        </w:rPr>
        <w:t xml:space="preserve">Quelle: </w:t>
      </w:r>
      <w:r>
        <w:t>https://mcp.opencaselaw.ch/entscheid/vd_omni_AC.2024.0318</w:t>
      </w:r>
    </w:p>
    <w:p>
      <w:r>
        <w:t>FR: VD_OMNI AC.2024.0318 du 21 novembre 2025</w:t>
      </w:r>
    </w:p>
    <w:p>
      <w:r>
        <w:t>IT: VD_OMNI AC.2024.0318 del 21 novembre 2025</w:t>
      </w:r>
    </w:p>
    <w:p>
      <w:pPr>
        <w:pStyle w:val="Heading2"/>
      </w:pPr>
      <w:r>
        <w:t>Regeste</w:t>
      </w:r>
    </w:p>
    <w:p>
      <w:r>
        <w:t>A.________/Municipalité de Villeneuve, B.________ | Recours contre la décision de la municipalité délivrant un permis de construire une dépendance non chauffée. Le projet mis à l'enquête fait suite à un premier refus de la municipalité de délivrer un permis de construire. Il n'en demeure pas moins que la nature des travaux projetés doit être déterminée uniquement par rapport à la nouvelle demande de permis de construire. Après examen de la règlementation communale applicable, la Cour estime que l'agrandissement d'un bâtiment existant est possible, car il demeure de peu d'importance et il forme un ensemble architectural cohérent avec l’édifice principal. En l'occurrence, ces deux conditions sont remplies. Pas de violation du CUS, non applicable aux zones concernées, ni d'une règle relative aux toitures dans la mesure où il ne s'agit pas d'une nouvelle construction. Il n'y a pas lieu de remettre en cause l'avis de la DGIP s'agissant du suivi archéologique. Pas de violation de la clause d'esthétique. Rejet du recours.</w:t>
      </w:r>
    </w:p>
    <w:p>
      <w:pPr>
        <w:pStyle w:val="Heading2"/>
      </w:pPr>
      <w:r>
        <w:t>Erwägungen</w:t>
      </w:r>
    </w:p>
    <w:p>
      <w:r>
        <w:rPr>
          <w:b/>
        </w:rPr>
        <w:t>E. 1</w:t>
      </w:r>
    </w:p>
    <w:p>
      <w:r>
        <w:t>La voie du recours de droit administratif, au sens des art. 92 ss de la loi vaudoise du 28 octobre 2008 sur la procédure administrative (LPA-VD; BLV 173.36), est ouverte à l'encontre d'une décision relative au permis de construire (cf. art. 114 ss de la loi vaudoise du 4 décembre 1985 sur l'aménagement du territoire et les constructions [LATC; BLV 700.11]). En l'espèce, le recourant est propriétaire d'une parcelle proche de celle concernée par les travaux. Il a une vue directe depuis sa parcelle sur les travaux qui sont projetés, ce que la cour a pu constater lors de l'inspection locale du 8 septembre 2025. Dans ces conditions, il dispose manifestement de la qualité pour recourir (cf. art. 75 let. a LPA-VD, par renvoi de l'art. 99 LPA-VD). Les autres conditions de recevabilité du recours sont remplies, de sorte qu'il y a lieu d'entrer en matière.</w:t>
      </w:r>
    </w:p>
    <w:p>
      <w:r>
        <w:rPr>
          <w:b/>
        </w:rPr>
        <w:t>E. 2</w:t>
      </w:r>
    </w:p>
    <w:p>
      <w:r>
        <w:t>Dans un premier moyen, le recourant fait valoir que la destination de l'ouvrage telle qu'indiquée dans la demande de permis de construire serait de nature à " semer le doute quant aux intentions réelles du projet ". Il rappelle que le constructeur avait précédemment sollicité l'octroi d'un permis de construire pour un jardin d'hiver, dans un projet d'agrandissement du bâtiment principal et que la municipalité avait refusé d'octroyer ce permis. Selon le recourant, le projet litigieux serait identique sous réserve du fait que le constructeur a indiqué sur les plans qu'il renonçait à un accès direct à la construction projetée depuis le bâtiment principal (aménagement d'une fenêtre fixe entre les bâtiments au lieu d'une porte-fenêtre). a) L'art. 109 al. 2 LATC prévoit que l’avis d’enquête doit notamment indiquer de façon précise la destination du bâtiment. L'art. 72 al. 1 let. f du règlement du 19 septembre 1986 d'application de la loi du 4 décembre 1985 sur l'aménagement du territoire et les constructions (RLATC; BLV 700.11) précise encore que l'avis d'enquête doit indiquer la destination précise de l'ouvrage et la nature des travaux. L'art. 70a RLATC exige en outre que la demande mentionne la destination de l'ouvrage de manière claire et complète en indiquant la nature de l'utilisation des locaux. Cette règle vaut pour toutes les constructions ou les aménagements pour lesquels une autorisation de construire est demandée, ce qui est le cas en l’espèce. Elle doit permettre tant aux autorités concernées qu’aux tiers intéressés d’être renseignés de manière complète sur la nature véritable des travaux projetés (cf. arrêts CDAP AC.2021.0313 du 30 septembre 2022 consid. 5a; AC.2014.0322 du 14 octobre 2015 consid. 2; AC.2014.0121 du 24 avril 2015 consid. 3a; AC.2013.0475 du 8 décembre 2014 consid. 2a). Cela étant, indépendamment de la destination mentionnée dans les documents de mise à l'enquête, c'est la configuration du bâtiment, telle qu'elle ressort des plans mis à l'enquête, qui est déterminante (arrêts CDAP AC.2020.0344 du 16 mars 2022 consid. 3b; cf. aussi AC.2000.0081 du 18 octobre 2000 consid. 2). b) En l'espèce, la demande de permis de construire indiquait sous la rubrique " Description de l'ouvrage " que le projet portait sur la " construction d'une dépendance ". La demande de permis de construire était également accompagnée d'un plan de situation ainsi que des plans d'architecte avec différentes coupes qui permettent de comprendre le projet (cf. aussi art. 69 al. 1 RLATC). La nature des travaux résulte donc clairement des documents soumis à l'enquête publique, si bien qu'il faut admettre que le recourant a été renseigné de façon claire et complète sur la nature des travaux projetés. Par ailleurs, une fois les travaux terminés, il reviendra à la municipalité de vérifier que la construction est conforme aux plans approuvés ainsi qu'aux conditions posées dans le permis de construire (cf. art. 128 al. 1 LATC; cf. aussi arrêts CDAP AC.2020.0004 du 10 août 2020 consid. 2d; AC.2017.0002 du 18 août 2017 consid. 2a et les références). La municipalité s'assurera ainsi notamment que le constructeur a bien posé une fenêtre fixe comme l'indiquent les plans mis à l'enquête publique. Mal fondé, ce grief doit donc être écarté.</w:t>
      </w:r>
    </w:p>
    <w:p>
      <w:r>
        <w:rPr>
          <w:b/>
        </w:rPr>
        <w:t>E. 3</w:t>
      </w:r>
    </w:p>
    <w:p>
      <w:r>
        <w:t>préexistants, soit de 8% environ. Une partie du nouveau volume est de surcroît réalisée en zone des constructions nouvelles, si bien que l'agrandissement du bâtiment réalisé en zone des aménagements extérieurs n'est en réalité que de 5% environ. Par ailleurs, la cour, composée notamment de deux assesseurs spécialisés ayant une formation d'architecte, considère sur la base du dossier et des constatations qui ont pu être faites sur place que l'extension, qui s'inscrit dans la continuité du bâtiment existant, notamment du balcon du premier étage, formera un ensemble architectural cohérent. Comme ceci ressort des plans soumis à l'enquête publique ainsi que des explications du constructeur en audience, il est prévu de poser une barrière en bois autour de la terrasse qui sera située au-dessus de l'extension, ce qui donnera une certaine cohérence au nouvel ensemble architectural, des barrières en bois existant déjà au premier et second étages. Il n'y a d'ailleurs pas lieu de poser des exigences trop strictes à ce sujet, le bâtiment existant ne présentant pas de réelles qualités architecturales. Ainsi, la cour considère que la règlementation communale, en particulier la destination des deux zones concernées, ne s'oppose pas à l'édification du local projeté.</w:t>
      </w:r>
    </w:p>
    <w:p>
      <w:r>
        <w:rPr>
          <w:b/>
        </w:rPr>
        <w:t>E. 4</w:t>
      </w:r>
    </w:p>
    <w:p>
      <w:r>
        <w:t>a) Le recourant fait également valoir que le projet ne respecterait pas les règles applicables aux coefficients et à l'implantation des constructions nouvelles. Il se réfère d'abord à l'art. 72 du règlement communal sur le plan général d'affectation et la police des constructions adopté par le Conseil communal les 22 mars et 6 décembre 2007, approuvé et mis en vigueur par le Département de l'économie les 31 mars et 13 mai 2008 (ci-après: RPGA) qui dispose, dans le chapitre IX " Zone de villas faible densité " que " la surface bâtie ne peut excéder le 1/5 de la surface totale de la parcelle ". Comme le soutient toutefois à juste titre la municipalité, qui dispose d'ailleurs d'un large pouvoir d'appréciation dans l'interprétation de ses règlements, l'art. 36 RPPA ne prévoit l'application des dispositions ordinaires communales que pour ce qui n'est pas prévu par la règlementation du plan partiel d'affectation. Ainsi, le RPGA ne s'applique qu'à titre supplétif. Or, l'art. 7 RPPA prévoit une réglementation particulière relative à l'agrandissement des bâtiments existants, ceux-ci devant être de peu d'importance. Il n'y a donc pas lieu d'appliquer des règles complémentaires fixées dans le RPGA, ce sujet étant réglementé dans la planification spéciale. De surcroît, le recourant se prévaut d'une règle spécifique à la " zone de villas faible densité " qui ne concerne pas la parcelle litigieuse. Les surfaces comprises dans le périmètre du PPA font chacune l'objet d'une réglementation spécifique, avec notamment des périmètres d'implantation pour les nouvelles constructions. Il n'y a donc pas lieu d'appliquer un coefficient ou un indice d'occupation du sol. Le recourant soutient également que le projet devrait être soumis à un coefficient d'utilisation du sol (CUS), soit le rapport numérique entre la SBPU et la surface constructible de terrain, propre aux zones suburbaines ou urbaines et non pas à une zone village. Dans ses déterminations du 13 février 2025, il soutient que le CUS serait " largement dépassé " dès lors qu'il faudrait tenir compte de la surface de la terrasse. Toutefois, quoi qu'en dise le recourant, force est de constater que dans le cas présent, la réglementation applicable à la zone concernée (que ce soit la zone des constructions nouvelles ou la zone des aménagement extérieurs), ne prévoit pas de CUS.  Dès lors, les griefs du recourant ayant trait à ce coefficient ne sont pas pertinents et doivent être écartés pour cette raison déjà. D'autre part, le RPPA fixe d'autres règles encadrant la densité des constructions. Il prévoit ainsi des périmètres d'implantation pour les nouvelles constructions avec des règles au sujet du nombre de niveaux, ou de la hauteur en façade (art. 9 ss RPPA). Il précise par ailleurs qu'en zone des aménagements extérieurs, des agrandissements de peu d'importance sont autorisés. b) Le nouveau mur accolé à la façade ouest de la véranda aura une hauteur nettement inférieure à 1,5 m; il respectera donc l'art. 20 RPPA. c) aa) Le recourant dénonce également une violation de l'art. 12 RPPA. Applicable à la zone des constructions nouvelles (art. 9 ss RPPA), l'art. 12 RPPA dispose ce qui suit: "Art. 12 – Toitures Les toitures seront à deux, trois ou quatre pans au maximum. La pente des toitures se situe obligatoirement entre 60 et 80 %. La couverture doit être soit: - en tuiles plates du pays - en tuiles anciennes de récupération - en tuiles fibro-ciment dont la couleur s'harmonisera avec celle du voisinage." De son côté, la municipalité explique que la construction projetée ne comportera pas de " toiture " mais sera recouverte d'une terrasse, s'inscrivant dans le prolongement d'un balcon existant et munie de garde-corps. Elle estime donc qu'il ne s'agit pas d'une toiture et qu'en conséquence l'art. 12 RPPA n'a pas vocation à s'appliquer. Elle souligne que la règlementation, en particulier celle applicable à la zone des aménagements extérieurs, ne proscrit pas la réalisation d'une telle terrasse, si bien qu'elle pouvait délivrer le permis de construire sollicité. bb) En l'espèce, le local projeté ne constitue pas une " nouvelle construction " mais bien l'agrandissement d'une construction existante, à savoir le bâtiment principal n° ECA 1432, lequel est déjà muni d'un toit à deux pans. Par ailleurs, aucune disposition du règlement ne proscrit l'aménagement d'une terrasse au-dessus de l'extension d'un bâtiment. Compte tenu du large pouvoir d'appréciation qui lui appartient dans l'interprétation et l'application de son règlement, il y a lieu d'admettre que la municipalité n'était pas tenue d'exiger du constructeur qu'il réalise un toit à deux pans sur le local projeté, qui constitue un simple agrandissement du bâtiment existant. Mal fondé, ce grief doit être écarté.</w:t>
      </w:r>
    </w:p>
    <w:p>
      <w:r>
        <w:rPr>
          <w:b/>
        </w:rPr>
        <w:t>E. 5</w:t>
      </w:r>
    </w:p>
    <w:p>
      <w:r>
        <w:t>Le recourant fait encore valoir que le permis de construire aurait dû être refusé au motif que les travaux projetés se dérouleront sur un site nécessitant un suivi archéologique. A ce titre, il souligne que dans une première procédure de mise à l'enquête publique, la DGIP, par l'intermédiaire de la Direction de l'archéologie cantonale avait exigé un suivi archéologique. Il ressort toutefois du dossier de la cause que la DGIP a procédé à une nouvelle analyse de la situation et qu'elle a finalement renoncé à exiger un suivi archéologique. Selon les explications de la DGIP, ce changement est notamment fondé sur une analyse complémentaire qui a porté sur le terrain, les aménagements extérieurs, ainsi que sur la profondeur de la creuse induite par le projet. Il n'y a pas lieu de remettre en question cette analyse réalisée par un service spécialisé de l'administration cantonale, ce d'autant plus qu'en cas de découverte fortuite lors des travaux, notamment de creuse, le constructeur devra suspendre immédiatement les travaux et signaler les découvertes aux autorités compétentes en application de l'art. 42 de la loi sur la protection du patrimoine culturel immobilier (LPrPCI; BLV 451.16).</w:t>
      </w:r>
    </w:p>
    <w:p>
      <w:r>
        <w:rPr>
          <w:b/>
        </w:rPr>
        <w:t>E. 6</w:t>
      </w:r>
    </w:p>
    <w:p>
      <w:r>
        <w:t>Le recourant soutient encore que la municipalité a violé la clause d'esthétique en délivrant le permis de construire sollicité.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3 RPPA fixe des principes d'aménagements. Il rappelle que le RPPA vise à la " préservation de la structure des hameaux et des espaces extérieurs ", ainsi qu'au " maintien du caractère alpestre et viticole ". Le RPGA prévoit quant à lui à son art. 110 que les constructions, agrandissements, transformations de toutes espèces, les crépis et les peintures etc., de nature à nuire au bon aspect d'un lieu sont interdits. Il impose à la municipalité de prendre toutes mesures pour éviter l'enlaidissement du territoire communal.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363 consid. 3b et les références citées; arrêt TF 1C_450/2008 du 19 mars 2009 consid. 2.4; arrêts CDAP AC.2024.0007 du 31 décembre 2024 consid. 4; AC.2016.0151 du 28 novembre 2017 consid. 14b et les références citées). Dans ce cadre, l'autorité doit prendre garde à ce que la clause d'esthétique ne vide pas pratiquement de sa substance la réglementation de la zone en vigueur (ATF 115 Ia 363 consid. 3a et les références citées).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(arrêt TF 1C_520/2012 du 30 juillet 2013 consid. 2.4; arrêts CDAP AC.2016.0294 du 4 décembre 2017 consid. 12a). b) En l'espèce, le hameau dans lequel se trouve le bâtiment n° ECA 1432 est constitué de bâtiments d'âges et de styles différents qui ne présentent pas, à tout le moins pour la majorité d'entre eux, d'originalité ou de qualité architecturale particulière. Le bâtiment n° ECA 1432 ne présente aucune qualité architecturale si bien que les travaux projetés n'auront qu'un impact très limité, que ce soit sur le bâtiment lui-même, mais aussi sur le quartier environnant. La cour considère que le style, les dimensions, l'orientation, ainsi que la couverture prévus (baies vitrées, barrières en bois sur la terrasse, etc.) s'intégreront de manière satisfaisante au quartier. Dès lors, la municipalité n'a pas violé son large pouvoir d'appréciation en délivrant le permis de construire.</w:t>
      </w:r>
    </w:p>
    <w:p>
      <w:r>
        <w:rPr>
          <w:b/>
        </w:rPr>
        <w:t>E. 7</w:t>
      </w:r>
    </w:p>
    <w:p>
      <w:r>
        <w:t>Les considérants qui précèdent conduisent au rejet du recours et à la confirmation de la décision entreprise. Vu le sort du recours, les frais de la cause sont mis à la charge du recourant. Ce dernier versera en outre des dépens à la Commune de Villeneuve,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