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AC.2024.0257 vom 15. Oktober 2025</w:t>
      </w:r>
    </w:p>
    <w:p>
      <w:r>
        <w:t>VD Tribunal cantonal, 2025-10-15, FR</w:t>
      </w:r>
    </w:p>
    <w:p>
      <w:r>
        <w:rPr>
          <w:b/>
        </w:rPr>
        <w:t xml:space="preserve">Quelle: </w:t>
      </w:r>
      <w:r>
        <w:t>https://mcp.opencaselaw.ch/entscheid/vd_omni_AC.2024.0257</w:t>
      </w:r>
    </w:p>
    <w:p>
      <w:r>
        <w:t>FR: VD_OMNI AC.2024.0257 du 15 octobre 2025</w:t>
      </w:r>
    </w:p>
    <w:p>
      <w:r>
        <w:t>IT: VD_OMNI AC.2024.0257 del 15 ottobre 2025</w:t>
      </w:r>
    </w:p>
    <w:p>
      <w:pPr>
        <w:pStyle w:val="Heading2"/>
      </w:pPr>
      <w:r>
        <w:t>Regeste</w:t>
      </w:r>
    </w:p>
    <w:p>
      <w:r>
        <w:t>A.________ et B.________/Municipalité du Mont-sur-Lausanne, Direction générale de l'environnement DGE-DIRNA, C.________, D.________ | Recours de voisins contre la décision de la municipalité refusant l'autorisation d'abattage d'arbres sur leur parcelle. Les deux arbres situés sur la parcelle des recourants, dans la bande des 10 mètres à la forêt, sont soumis à la LPrPNP. Les conditions pour déroger à l'obligation de conserver le patrimoine arboré (art. 15 LPrPNP) ne sont pas réalisées. Les autres arbres litigieux se trouvent sur la parcelle voisine, qui est située entièrement dans l'aire forestière. La décision de la municipalité qui constate qu'elle n'est pas compétente pour se prononcer sur la demande d'abattage de ces trois arbres doit être confirmée. Rejet du recours.</w:t>
      </w:r>
    </w:p>
    <w:p>
      <w:pPr>
        <w:pStyle w:val="Heading2"/>
      </w:pPr>
      <w:r>
        <w:t>Erwägungen</w:t>
      </w:r>
    </w:p>
    <w:p>
      <w:r>
        <w:rPr>
          <w:b/>
        </w:rPr>
        <w:t>E. 1</w:t>
      </w:r>
    </w:p>
    <w:p>
      <w:r>
        <w:t>La voie du recours de droit administratif au sens des art. 92 ss de la loi du 28 octobre 2008 sur la procédure administrative (LPA-VD; BLV 173.36) est ouverte contre une décision prise par une municipalité en application des art. 14 ss LPrPNP. Le recours a été déposé en temps utile (art. 95 LPA-VD) et il satisfait aux autres conditions formelles de recevabilité (art. 79 LPA-VD, applicable par renvoi de l'art. 99 LPA-VD). Il y a donc lieu d'entrer en matière.</w:t>
      </w:r>
    </w:p>
    <w:p>
      <w:r>
        <w:rPr>
          <w:b/>
        </w:rPr>
        <w:t>E. 2</w:t>
      </w:r>
    </w:p>
    <w:p>
      <w:r>
        <w:t>Il convient en premier lieu de circonscrire l'objet du litige. a) Dans la procédure de recours de droit administratif, il incombe au juge de se prononcer sur les rapports juridiques que l'autorité administrative a précédemment réglés de manière contraignante, sous la forme d'une décision. C'est cette décision qui détermine l'objet de la contestation devant le Tribunal cantonal. Ensuite, pour délimiter l'objet du litige, il faut examiner quel élément de la décision attaquée est effectivement contesté (cf. notamment ATF 144 II 359 consid. 4.3; 131 V 164 consid. 2.1, et les références). b) En l'espèce, la décision attaquée refuse d'accorder une dérogation à la conservation du patrimoine arboré pour l'abattage de neuf arbres (prunus padus ou cerisiers à grappes), étant précisé que les recourants ont enlevé un picea abies qui, selon l'appréciation de la municipalité, n'était pas protégé. Dans leurs observations du 3 avril 2025, les recourants ont toutefois modifié leurs conclusions en ce sens qu'ils contestent désormais le refus d'abattage des deux arbres situés entièrement sur leur parcelle n° 2979, ainsi que trois arbres figurés sur la limite entre leur parcelle et la parcelle n° 3215 selon le plan de levé des arbres, du 24 avril 2024. c) Les recourants renoncent donc à contester le refus d'abattage pour les autres arbres (prunus padus), situés sur la parcelle n° 3215 selon le plan précité du 24 avril 2024, ce dont il est pris acte.</w:t>
      </w:r>
    </w:p>
    <w:p>
      <w:r>
        <w:rPr>
          <w:b/>
        </w:rPr>
        <w:t>E. 3</w:t>
      </w:r>
    </w:p>
    <w:p>
      <w:r>
        <w:t>Il convient d’examiner le régime légal applicable aux cinq arbres restant litigieux compte tenu de leur situation. Dans sa décision attaquée, la municipalité retient que seuls deux arbres sont soumis à la LPrPNP, les autres arbres étant soumis à la législation forestière. a) Selon le plan de levé des arbres, établi par le bureau de géomètres le 24 avril 2024, trois arbres sont situés à cheval sur les parcelles n os 2979 et 3215. Les deux autres arbres litigieux sont situés entièrement sur la parcelle n° 2979, ce qui a pu être constaté lors de l'inspection locale et n'est du reste pas contesté par les recourants. Lors l'inspection locale, le Tribunal, composé d'un assesseur ingénieur forestier et d'un ingénieur géomètre, a fait les constatations suivantes au sujet de la situation des trois arbres figurés à cheval sur la parcelle des recourants et celle des voisins opposants (_________): le piquetage de la limite est de la parcelle n° 2979 a été réalisé sur du terrain remblayé et il n'est par conséquent pas aisé de déterminer l'emplacement exact des trois arbres litigieux par rapport à la limite de propriété. Cela étant, ces arbres se sont développés en biais en direction de la lumière, soit en direction de la parcelle n° 2979. Par conséquent, les pieds de ces arbres sont très vraisemblablement situés sur la parcelle n° 3215. Ces constatations n'ont pas été contestées par les parties, les recourants ayant seulement indiqué que, selon eux, la hauteur du remblai serait en moyenne de 37 cm et non de 50 cm, ce qui ne remet pas en cause les constatations faites par le tribunal selon lesquelles les trois arbres litigieux sont situés essentiellement sur la parcelle n° 3215. Ce constat est également corroboré par le plan de levé des arbres, du 24 avril 2024. b) La parcelle n° 2979 est classée dans la zone à bâtir. Quant à la parcelle voisine n° 3215, propriété des opposants C.________ et D.________, elle est affectée en aire forestière. Lors de l'inspection locale, l'inspecteur des forêts a expliqué que la délimitation de l’aire forestière a été réalisée à l’occasion de l’adoption des plans de quartier dans ce secteur, au début des années 2000 et qu'elle coïncide avec la limite entre les parcelles n os 2979 et 3215. Il a précisé qu'il s'agissait d'une limite statique et non dynamique. c) Lorsque l'aire forestière a été délimitée lors de l'établissement du plan d'affectation communal en vigueur, le droit fédéral exclut en principe, même en présence d'un nouveau peuplement, qu'une autre limite de la forêt soit prise en considération dans une procédure d'autorisation de construire (art. 13 al. 1 et 2 LFo). Dans ce contexte, le droit fédéral a supprimé la notion dynamique de la forêt, une limite statique étant fixée dans les zones où, pour des motifs d'aménagement du territoire, il faut empêcher une croissance de l'aire forestière (CDAP AC.2025.0005, AC.2025.007 du 18 juillet 2025 consid. 4c et les références). L'art. 13 al. 3 LFo permet toutefois un réexamen et le cas échéant une adaptation en cas de modification sensible des conditions effectives. Cette clause correspond à celle de l'art. 21 al. 2 LAT, pour les plans d'affectation et il faut appliquer en définitive les mêmes critères (cf. TF 1C_645/2018 du 21 novembre 2019 consid. 3; 1C_182/2022 du 20 octobre 2023 consid. 5). Dans les deux dispositions, il s'agit de faire coïncider, si nécessaire, la planification et les conditions effectives (TF 1C_144/2023 du 30 avril 2025 consid. 5 et les références). d) Dans le cas présent, il n’est pas allégué une modification sensible de la situation qui justifierait un réexamen de la limite de la forêt en vertu de l’art. 13 al. 3 LFo. Le Tribunal retiendra par conséquent que la limite de la forêt coïncide avec la limite entre les parcelles n os 2979 et 3215 précitées. Il s'ensuit que les deux arbres situés sur la parcelle n° 2979 sont situés entièrement dans la zone à bâtir. Quant aux trois autres arbres, ils sont situés dans l'aire forestière.</w:t>
      </w:r>
    </w:p>
    <w:p>
      <w:r>
        <w:rPr>
          <w:b/>
        </w:rPr>
        <w:t>E. 4</w:t>
      </w:r>
    </w:p>
    <w:p>
      <w:r>
        <w:t>Hors des situations visées à l'alinéa 3, portent notamment atteinte à la conservation du patrimoine arboré son entretien au-delà de ce qui a cours habituellement pour l'élément considéré, sa suppression, ainsi que les interventions qui affectent l'intégrité de toute ou partie des végétaux, y compris leur système racinaire. Il en est de même de l'atteinte à l'espace vital de l'arbre qui doit au minimum correspondre à l'ampleur de la couronne de l'arbre.</w:t>
      </w:r>
    </w:p>
    <w:p>
      <w:r>
        <w:rPr>
          <w:b/>
        </w:rPr>
        <w:t>E. 5</w:t>
      </w:r>
    </w:p>
    <w:p>
      <w:r>
        <w:t>Les recourants soutiennent en premier lieu que la LPrPNP ne s'appliquerait pas aux deux arbres situés sur leur parcelle n° 2979 dès lors qu'ils se trouvent dans la bande des 10 mètres à la forêt. a) Les art. 17 LFo et 27 LVLFo prévoient le respect d'une distance de 10 m entre les constructions et installations et la limite de la forêt, dans un but de protection des lisières. Sont considérés comme des constructions ou installations, tous les aménagements durables et fixes créés par la main de l'homme, exerçant une incidence sur l'affectation du sol par le fait qu'ils modifient sensiblement l'espace extérieur, qu'ils ont des effets sur l'équipement ou qu'ils sont susceptibles de porter atteinte à l'environnement (ATF 140 II 473 consid. 3.4.1 et la référence; TF 1C_50/2020 du 8 octobre 2020 consid. 6.1). Les art. 17 LFo et 27 LVLFo visent à protéger la forêt des atteintes naturelles ou humaines. La distance par rapport à la forêt doit également permettre d'y avoir accès et de la gérer de façon appropriée, de la prémunir contre les incendies et de préserver les lisières qui ont une grande valeur écologique. Elle sert encore à éloigner les constructions et leurs occupants des dangers ou inconvénients pouvant provenir de la forêt, tels que chutes d'arbres dues au vent, humidité, ombre, etc. Elle tend en outre à atténuer le contraste frappant entre la silhouette de la forêt et celle des bâtiments ou installations avoisinants, dans un souci de sauvegarde du paysage (TF 1C_18/2018 du 20 novembre 2018 consid. 2.2; 1C_64/2017 du 31 août 2017 consid. 5.1; 1C_386/2014 du 13 novembre 2014 consid. 3.1; CDAP AC.2023.0173 du 13 juin 2024 consid. 5c/aa; AC.2022.0232 du 14 mars 2023 consid. 1a; AC.2018.0204 du 24 septembre 2020 consid. 5a; AC.2005.0256 du 4 avril 2007 consid. 3a). b) En l'espèce, il ressort du plan de levé des arbres du 24 avril 2024 que les deux arbres litigieux sont situés à une vingtaine de centimètres de la limite est de la parcelle n° 2979 et donc de la limite de la forêt. Selon les recourants, la LPrPNP ne pourrait pas fixer des exigences qui rendraient impossible l’abattage d’arbres à l’intérieur de la bande des 10 m à la forêt car cela permettrait à terme l’extension des forêts sur la zone à bâtir. c) L’art. 13 al. 2 LFo précité prévoit que les nouveaux peuplements à l’extérieur des limites de forêts ne sont pas considérés comme forêt. Ainsi, le fait que les deux arbres litigieux sont situés dans la bande des 10 m à la forêt n’est pas déterminant. Si les art. 17 LFo et 27 LVLFo soumettent à autorisation de l'autorité cantonale chargée de l'application de la législation forestière (soit la DGE-Forêt) les constructions et installations prévues dans cette surface, tel n'est toutefois pas le cas des demandes d'abattage d'arbres qui sont soumises à la LPrPNP. Quant au risque que la forêt s'étende sur la zone à bâtir, l'annexe 3 précitée du RLPrPNP autorise les recourants à entretenir la bande des 10 m à la forêt, en procédant à la coupe des rejets ou des pousses spontanées ainsi que des arbres situés sur leur parcelle ayant une circonférence mesurée à 1 m du sol inférieure à 40 cm, ce qui permet d'éviter que la forêt n'envahisse leur parcelle. Ainsi, quand bien même les deux arbres litigieux sont situés dans la bande des 10 m à la forêt, ils sont soumis à la LPrPNP, dès lors qu'ils se trouvent dans la zone à bâtir. Ce grief est par conséquent mal fondé.</w:t>
      </w:r>
    </w:p>
    <w:p>
      <w:r>
        <w:rPr>
          <w:b/>
        </w:rPr>
        <w:t>E. 6</w:t>
      </w:r>
    </w:p>
    <w:p>
      <w:r>
        <w:t>Les recourants soutiennent ensuite qu’à la date où ils ont déposé leur demande d’abattage d’arbres, soit en novembre 2023, le règlement la LPrPNP n’était pas en vigueur. Ils font valoir qu'à ce moment-là, le " règlement du classement communal des arbres ", approuvé par le Conseil d’Etat, le 30 novembre 1990 était applicable et que les deux arbres sur leur parcelle n'étaient pas protégés par ce règlement compte tenu de leur diamètre à cette époque. Ils en concluent qu'ils auraient pu être abattus sans autorisation et ils reprochent à la municipalité d'avoir fait preuve de mauvaise foi en exigeant qu'ils déposent une demande d'abattage pour ces arbres. a) En l'espèce, la demande d’autorisation d’abattage des arbres litigieuse a été déposée en novembre 2023, soit après l'entrée en vigueur de la LPrPNP, de sorte que cette loi était applicable, contrairement à ce que les recourants ont pu soutenir dans leurs observations du 3 avril 2025. Par ailleurs, le RLPrPNP était en vigueur au moment où la municipalité a statué, le 2 juillet 2024. Selon la jurisprudence, lorsqu'un changement de droit intervient en cours de procédure administrative, mais avant le prononcé d'une décision, l'autorité de première instance doit en principe fonder sa décision sur le nouveau droit (CDAP AC.2024.0333 du 7 mai 2025 consid. 3b; Dubey/Zufferey, Droit administratif général, 2ème éd., Bâle 2025, n° 455; Bovay, Procédure administrative, 2ème éd., Berne 2015, p. 247). L’art. 48 al. 2 RLPrPNP prévoit cependant que les règlements communaux de protection du patrimoine arboré existant à l'entrée en vigueur de la LPrPNP s'appliquent dans la mesure où ils sont conformes à cette loi et à son règlement. b) En l'occurrence, le règlement du classement communal des arbres protège uniquement les arbres de plus de 30 cm de diamètre, mesurés à 1.30 m du sol (art. 2). Si l'on convertit les unités, un diamètre de 30 cm équivaut à une circonférence de l'ordre de 94 cm (chiffre arrondi). En conséquence, le règlement du classement communal des arbres n'est pas conforme à la LPrPNP et son règlement, qui soumet à autorisation les demandes d'abattages des arbres ayant une circonférence à 1 m du sol de 40 cm. Le règlement communal précité doit donc céder le pas à la législation cantonale (cf. art. 48 al. 2 RLPrPNP). c) Quant à l'art. 71 al. 5 LPrPNP, auquel se réfèrent également les recourants, il prévoit que jusqu'à l'adoption de l'inventaire des arbres remarquables, les règlements communaux de protection des arbres s'appliquent, à l'exception des dispositions traitant de la compensation. Cette disposition a donc trait aux arbres remarquables, ce qui n'est le cas des deux arbres litigieux sur la parcelle des recourants. d) Les recourants allèguent par ailleurs que lorsque qu'ils ont déposé leur demande d'abattage d'arbres, en novembre 2023, la circonférence des arbres litigieux, mesurée à 1 m du sol, était inférieure à 40 cm et qu'aucune autorisation n'était donc nécessaire en vertu de la LPrPNP. On rappelle que la demande d'abattage des arbres portait initialement sur dix arbres dont une majorité n'est pas située sur la parcelle des recourants mais sur la parcelle voisine n° 3215, affectée à l'aire forestière. Les recourants n'ont fourni avec leur demande aucun plan précis de l'emplacement des arbres ni de leurs dimensions, ce qui a nécessité de procéder à des mesures d’instruction complémentaire. La municipalité était donc fondée à demander aux recourants qu'ils déposent une demande d'abattage pour les arbres qu'ils souhaitaient abattre, dont une majorité n'était pas située sur leur parcelle mais sur une parcelle voisine affectée en aire forestière. Quant à l'allégation des recourants selon laquelle la circonférence des deux arbres litigieux sur leur parcelle, mesurée à 1 m du sol, était inférieure à 40 cm au moment où ils ont déposé leur demande d'abattage, elle n'est pas déterminante. En effet, la municipalité devait statuer en tenant compte de la situation qui prévalait au moment où elle a rendu sa décision et appliquer à cette date le RLPrPNP qui était entré en vigueur. Certes, les mesures des circonférences des deux arbres ont été effectuées par le service de l'environnement, en mars 2025 seulement, à la suite de l'inspection locale dans le cadre de la présente procédure. II en ressort toutefois que leur circonférence, mesurée à un mètre du sol, est de 47 cm chacun. Il n'est ainsi pas douteux qu'au moment où la municipalité a statué, l'abattage de ces arbres était soumis à autorisation en vertu des art. 14 et 15 LPrPNP, 15 RLPrPNP précités, et de l'annexe 3 RLPrPNP. Dans leur observations du 3 avril 2025, les recourants indiquent avoir eux-mêmes procédé à des mesures à une hauteur de 65 cm du sol, en tenant compte du fait du remblai qui aurait une hauteur moyenne de 37 cm. Les deux arbres litigieux auraient une circonférence de respectivement 43.5 et 41.4 cm. Ces mesures confirment qu'une autorisation de la municipalité est nécessaire pour leur abattage en vertu des dispositions précitées. Les griefs des recourants relatifs à l'application de la LPrPNP et son règlement aux deux arbres situés sur leur parcelle doivent donc être rejetés.</w:t>
      </w:r>
    </w:p>
    <w:p>
      <w:r>
        <w:rPr>
          <w:b/>
        </w:rPr>
        <w:t>E. 7</w:t>
      </w:r>
    </w:p>
    <w:p>
      <w:r>
        <w:t>Les recourants estiment que les conditions pour autoriser l'abattage des deux arbres sur leur parcelle (dérogations à l'obligation de conserver le patrimoine arboré) seraient remplies. a) Selon l'art. 15 al.1 LPrPNP précité, les dérogations à l'obligation de conserver le patrimoine arboré peuvent être octroyées pour la suppression et l'élagage excédant l'entretien courant en présence de risques sécuritaires ou phytosanitaires avérés (let. a), d'une entrave avérée à l'exploitation agricole (let. b), ou d'impératifs de construction ou d'aménagement (let. c). b) Les recourants ne font pas valoir que l'abattage requis des deux arbres sur leur parcelle serait justifié par un motif sécuritaire ou sanitaire au sens de l'art. 15 al.1 let. a LPrPNP précité. Ils soutiennent en revanche que les abattages devraient être autorisés en vertu de l'art. 15 al. 1 let. c LPrPNP, à savoir pour des impératifs d'aménagement du territoire. Selon eux, le fait de devoir matérialiser la limite forestière "statique" en enlevant les arbres qui pourraient modifier cette limite constituerait un tel impératif. Ils font valoir un objectif de contrôle de la végétation, ce d'autant plus que les arbustes dont l'abattage est requis ne présentent selon eux aucune valeur dendrologique. Dans leur demande d'autorisation de construire, ils ont indiqué vouloir profiter de l'entièreté de leur parcelle et jardin pour leurs enfants sans être envahis par la forêt. Ils relèvent par ailleurs que ces deux arbres sont situés sur l'assiette d’une servitude de passage pour véhicules forestiers, ce qui justifierait également d'autoriser leur abattage pour laisser libre le passage des véhicules forestiers. c) On rappelle que les deux arbres litigieux sont situés à moins de 30 cm de la limite de la forêt. Ils n'empêchent ainsi pas les enfants des recourants de profiter du jardin. L'intérêt public à la conservation de ces arbres l'emporte ainsi manifestement sur l'intérêt des recourants à les supprimer pour des motifs qui relèvent de la convenance personnelle. Concernant le fait que ces arbres compromettraient l'usage de la servitude, la DGE rappelle que l'utilisation de la servitude se limite aux travaux d'entretien et de gestion de la forêt. Sa fonctionnalité doit être garantie en cas de nécessité d'usage, ce qui ne signifie pas encore que les arbres ou buissons situés dans son emprise doivent être abattus pour des besoins forestiers. En l'occurrence, l'assiette de la servitude de passage pour les véhicules forestiers a une largeur de 5 mètres depuis la limite est de la parcelle n° 2979. Elle est suffisante pour permettre le passage des véhicules forestiers malgré la présence des deux arbres litigieux qui ne sont pas situés au milieu de l'assiette de la servitude mais en bordure de forêt. Quant au besoin de matérialiser la limite statique de la forêt, l'annexe 3 du RLPrPNP précité autorise, comme on l'a vu, les recourants à procéder à la coupe des rejets ou des pousses spontanées ainsi que des arbres d'une circonférence, mesurée à 1 m du sol inférieure à 40 cm, jusqu'en imite de forêt. En revanche, aucun impératif d'aménagement ni de construction ne justifie l'abattage des deux arbres qui font partie du patrimoine arboré et doivent par conséquent être conservés. d) Vu ce qui précède, l'appréciation de la municipalité selon laquelle l'intérêt public à la conservation des deux arbres litigieux situés sur la parcelle n° 2979 l'emporte sur l'intérêt privé des recourants à les supprimer pour des motifs essentiellement de convenance personnelle ne prête pas le flanc à la critique et doit être confirmée.</w:t>
      </w:r>
    </w:p>
    <w:p>
      <w:r>
        <w:rPr>
          <w:b/>
        </w:rPr>
        <w:t>E. 8</w:t>
      </w:r>
    </w:p>
    <w:p>
      <w:r>
        <w:t>Il reste à examiner la situation des trois arbres litigieux situés sur la parcelle n° 3215, en limite de propriété. Dans leurs observations du 3 avril 2025, les recourants soutiennent qu'aucune autorisation ne serait nécessaire pour leur abattage, singulièrement qu'une autorisation devrait être délivrée par la municipalité pour les mêmes motifs que ceux invoqués à l'appui de la demande d'abattage des deux arbres situés entièrement sur leur parcelle. a) Comme on l'a mentionné précédemment, les pieds des trois arbres litigieux, se trouvent sur la parcelle n° 3215. Ces trois arbres sont donc situés dans l'aire forestière et sont dès lors soumis à la législation sur les forêts. b) Selon l'art. 5 LFo, les défrichements en forêt sont interdits (al 1). Une autorisation peut être accordée à titre exceptionnel au requérant qui démontre que le défrichement répond à des exigences primant l’intérêt à la conservation de la forêt (al. 2). L'art. 6 LFo prévoit que les dérogations sont accordées par les autorités cantonales, lorsque la construction ou la transformation d'un ouvrage exigeant un défrichement relève de leur compétence (al. 1 let. b). L’art. 17 al. 1 de la loi forestière du 8 mai 2012 (LVLFo ; BLV 921.01) précise que sous réserve des compétences fédérales, le service en charge de l’application de la législation forestière (la DGE-Forêt) est compétent pour délivrer l'autorisation de défricher. Il s'ensuit que la décision de la municipalité qui constate qu'elle n'est pas compétente pour se prononcer sur la demande d'abattage de ces trois arbres doit être confirmée. La DGE a par ailleurs précisé qu'en l'espèce, elle n'a délivré aucune autorisation relevant de la législation forestière. c) Il convient encore de rappeler que, dans la mesure où ces arbres se trouvent sur la parcelle des opposants voisins, l'autorisation de ces derniers serait aussi nécessaire pour un éventuel abattage. Quant à la problématique des branches de ces arbres qui empièteraient sur la parcelle des recourants, elle relève du droit privé. L'art. 687 al. 1 CC prévoit que tout propriétaire a le droit de couper et de garder les branches et racines qui avancent sur son fonds, si elles lui portent préjudice et si, après réclamation, le voisin ne les enlève pas dans un délai convenable (al. 1). L’art. 688 CC réserve les règles de droit civil cantonal complémentaires. L’art. 64 CRF prévoit que celui sur la propriété duquel avancent les racines ou les branches des arbres du voisin a le droit de les couper à sa limite, si elles lui portent préjudice, pour autant qu'il ne s'agisse pas d'arbres classés ou protégés, et si après avertissement le voisin ne les enlève pas dans un délai convenable (al. 1). Ce droit est inapplicable aux forêts limitrophes l'une de l'autre. Si le fonds voisin n'est pas soumis à la loi forestière, son propriétaire ne peut exercer le droit prévu au premier alinéa sans une autorisation du département compétent ne soit délivrée. Celui qui procédera à la coupe avant d'être au bénéfice d'une autorisation définitive est passible des peines prévues par la loi forestière (al. 3). Ainsi, la question de l'élagage des branches empiétant éventuellement sur la propriété des recourants relève, outre de la législation forestière, du droit privé et n'est pas de la compétence de la municipalité. Cette question n'a donc pas à être tranchée dans la présente procédure.</w:t>
      </w:r>
    </w:p>
    <w:p>
      <w:r>
        <w:rPr>
          <w:b/>
        </w:rPr>
        <w:t>E. 9</w:t>
      </w:r>
    </w:p>
    <w:p>
      <w:r>
        <w:t>Les considérants qui précèdent conduisent au rejet du recours et à la confirmation de la décision attaquée. En procédure de recours, les frais sont supportés par la partie qui succombe (art. 49 al. 1, 91 et 99 LPA-VD). Quant aux dépens, l'autorité alloue une indemnité à la partie qui obtient totalement ou partiellement gain de cause, en remboursement des frais qu'elle a engagés pour défendre ses intérêts (art. 55 al. 1, 91 et 99 LPA-VD). Cette indemnité est mise à la charge de la partie qui succombe (art. 55 al. 2, 91 et 99 LPA-VD). Les frais de justice doivent ainsi être mis à la charge des recourants, qui verseront en outre une indemnité à titre de dépens à l’autorité intimée, assistée d'une avocate.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