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AC.2024.0200 vom 6. März 2025</w:t>
      </w:r>
    </w:p>
    <w:p>
      <w:r>
        <w:t>VD Tribunal cantonal, 2025-03-06, FR</w:t>
      </w:r>
    </w:p>
    <w:p>
      <w:r>
        <w:rPr>
          <w:b/>
        </w:rPr>
        <w:t xml:space="preserve">Quelle: </w:t>
      </w:r>
      <w:r>
        <w:t>https://mcp.opencaselaw.ch/entscheid/vd_omni_AC.2024.0200</w:t>
      </w:r>
    </w:p>
    <w:p>
      <w:r>
        <w:t>FR: VD_OMNI AC.2024.0200 du 6 mars 2025</w:t>
      </w:r>
    </w:p>
    <w:p>
      <w:r>
        <w:t>IT: VD_OMNI AC.2024.0200 del 6 marzo 2025</w:t>
      </w:r>
    </w:p>
    <w:p>
      <w:pPr>
        <w:pStyle w:val="Heading2"/>
      </w:pPr>
      <w:r>
        <w:t>Regeste</w:t>
      </w:r>
    </w:p>
    <w:p>
      <w:r>
        <w:t>A.________/Municipalité de Lully, Direction générale du territoire et du logement, Direction générale de la mobilité et des routes, B.________, C.________ | Recours contre le refus de délivrer un permis de construire de la municipalité pour un projet de transformation d'un hangar hors zone à bâtir, nonobstant les autorisations spéciales des services cantonaux spécialisés. Le refus de la municipalité repose principalement sur le fait que la parcelle n'est pas équipée, c'est-à-dire non alimentée en eau potable ni raccordée au réseau d'égouts. Si la commune n'a aucune obligation légale d'équiper elle-même la parcelle litigieuse, elle doit permettre aux propriétaires fonciers d’équiper eux-mêmes, à leurs frais, leur terrain selon les plans approuvés par les autorités communales et cantonales compétentes. Cependant, la demande de permis de construire n'était pas accompagnée de plans de canalisation d'eau et d'égout. La constructrice doit donc compléter le dossier, soit de soumettre de tels plans aux autorités communales et cantonales compétentes pour approbation. Rejet du recours par substitution de motif.</w:t>
      </w:r>
    </w:p>
    <w:p>
      <w:pPr>
        <w:pStyle w:val="Heading2"/>
      </w:pPr>
      <w:r>
        <w:t>Erwägungen</w:t>
      </w:r>
    </w:p>
    <w:p>
      <w:r>
        <w:rPr>
          <w:b/>
        </w:rPr>
        <w:t>E. 1</w:t>
      </w:r>
    </w:p>
    <w:p>
      <w:r>
        <w:t>Selon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Rendue par la municipalité en application de l'art. 115 de la loi du 4 décembre 1985 sur l'aménagement du territoire et les constructions (LATC; BLV 700.11), la décision attaquée n’est pas susceptible de recours devant une autre autorité. La CDAP est dès lors compétente. En tant que propriétaire de la parcelle n° 114, la recourante qui s’est vu refuser le permis de construire requis a manifestement qualité pour recourir au sens de l'art. 75 al. 1 let. a LPA-VD, applicable par le renvoi de l'art. 99 LPA-VD. Le mémoire de recours, déposé en temps utile (art. 95 LPA-VD), satisfait par ailleurs aux autres conditions formelles de recevabilité (art. 79 LPA-VD, applicable par renvoi de l'art. 99 LPA-VD), si bien qu'il y a lieu d'entrer en matière sur le fond.</w:t>
      </w:r>
    </w:p>
    <w:p>
      <w:r>
        <w:rPr>
          <w:b/>
        </w:rPr>
        <w:t>E. 2</w:t>
      </w:r>
    </w:p>
    <w:p>
      <w:r>
        <w:t>La présente affaire a ceci de particulier que les autorisations spéciales cantonales (cf. art. 25 al. 2 de la loi fédérale du 22 juin 1979 sur l'aménagement du territoire [LAT; RS 700]), en particulier celle de la DGTL, ont été délivrées pour un projet situé hors zone à bâtir ; la commune a cependant refusé de délivrer le permis de construire au motif notamment que l’art. 37a LAT relatif aux constructions et installations à usage commercial sises hors zone à bâtir aurait été violé par les autorités cantonales compétentes. Or, en principe, une commune qui conteste l’application du droit fédéral par l’autorité cantonale doit recourir contre la décision de celle-ci (cf. art. 34 al. 2 LAT) et ne peut se contenter de refuser le permis de construire pour des motifs tirés du droit fédéral; dans cette hypothèse le recours du constructeur ne conduit à examiner le refus municipal que s’agissant des domaines qui n’ont pas fait l’objet des autorisations cantonales, celles-ci devant être tenues pour acquises, en ce qui concerne la commune du moins (cf. arrêt TF 1C_96/2018 du 11 octobre 2018, consid. 3a ; AC.2017.0277 du 13 avril 2018 consid. 2 et 5 ; AC.2013.0318 du 18 décembre 2014 consid. 2). Dans ce contexte, il est précisé que les opposants B.________ et C.________, dont le bien-fonds est distant de plus de 300 m du projet litigieux, n’auraient pas la qualité pour recourir notamment contre l’autorisation spéciale délivrée par la DGTL.  Dans le cas particulier, dès lors que la commune intimée n’a pas recouru contre les décisions cantonales, en particulier celle de la DGTL, il est douteux que la cour de céans puisse examiner le bien-fondé des autorisations cantonales rendues en application du droit fédéral. Point n’est cependant besoin de trancher cette question, du moment que la décision attaquée refusant le permis de construire doit de toute façon être confirmée pour un autre motif : le dossier d’enquête n’est pas complet (voir ci-dessous).</w:t>
      </w:r>
    </w:p>
    <w:p>
      <w:r>
        <w:rPr>
          <w:b/>
        </w:rPr>
        <w:t>E. 3</w:t>
      </w:r>
    </w:p>
    <w:p>
      <w:r>
        <w:t>Les dispositions de la législation sur le service de défense contre l'incendie et de secours sont réservées. " Dans un arrêt récent, la Cour de céans a eu l’occasion de juger que, sur la base de la législation exposée ci-dessus, une commune n'avait aucune obligation légale de fournir de l'eau nécessaire à la consommation (eau potable) et à la lutte contre le feu aux propriétaires de parcelles qui n'étaient situées en zone à bâtir ; il en va de même de l’équipement concernant l’évacuation des eaux (CDAP AC.2023.0105 du 3 décembre 2024 consid. 3 et 4, ainsi que les nombreuses références citées). b) En l'espèce, la DGTL, qui a délivré l’autorisation spéciale, est partie de l’idée que la parcelle n° 114 était déjà alimentée en eau potable et raccordée au réseau communal des canalisations EC et EU. Or, tel n’est pas le cas. Force est donc d’admettre que la parcelle n° 114 n'est pas entièrement équipée. Comme indiqué ci-dessus, la commune en cause n’a aucune obligation légale d’équiper la parcelle litigieuse de canalisations ni de prendre à sa charge les frais d’équipement. La municipalité a déclaré non seulement qu’elle n’avait aucune intention d’équiper elle-même la parcelle litigieuse, mais encore qu’elle était opposée à tous travaux de raccordement au réseau communal. Elle invoque notamment des frais disproportionnés pour raccorder "un seul atelier" et le fait que la pose d'une conduite est compliquée par l'apparition d'une zone d'érosion à la suite d’une crue qui s’est produite le 25 juin 2024. Il y a lieu d’en prendre acte. Mais, si la municipalité peut refuser d’équiper elle-même à ses frais la parcelle n° 114 située hors zone à bâtir, elle doit permettre aux propriétaires fonciers d’équiper eux-mêmes, à leurs frais, leur terrain selon les plans approuvés par les autorités communales et cantonales compétentes (application par analogie de l’art. 19 al. 3 LAT concernant les zones à bâtir). Dans le cas présent, la constructrice n’a cependant pas établi ni produit de plans concernant la pose de canalisations. Or, selon l’art. 69 al. 1 er ch.</w:t>
      </w:r>
    </w:p>
    <w:p>
      <w:r>
        <w:rPr>
          <w:b/>
        </w:rPr>
        <w:t>E. 5</w:t>
      </w:r>
    </w:p>
    <w:p>
      <w:r>
        <w:t>du Règlement d'application du 19 septembre 1986 de la loi du 4 décembre 1985 sur l'aménagement du territoire et les constructions (RLATC ; BLV 700.11.1), la demande de permis de construire doit être accompagnée d’un dossier complet, dont les "plans des canalisations d'eau et d'égouts sur lesquels figureront les différents réseaux, dessinés en utilisant les symboles de la recommandation SIA n° 410, ainsi que les indications des pentes et des diamètres jusqu'au raccordement avec les canalisations principales ou, dans les cas exceptionnels, avec les installations privées, autorisées par le département en charge de la gestion des eaux" (ch. 5). En résumé, le dossier d’enquête présente des lacunes, puisque les plans des canalisations d’eau et d’égouts n’ont pas été produits. C’est donc pour ce motif déjà que le permis de construire doit être refusé. Il incombe à la constructrice de compléter le dossier, soit de soumettre de tels plans aux autorités communales et cantonales compétentes pour approbation. Les frais d’équipement seront pris en charge par la constructrice. c) Vu l’issue du litige, il n’est pas nécessaire d’examiner s’il existe d’autres motifs qui justifient le refus de délivrer le permis de construire en cause par la municipalité. Le tribunal de céans s’étonne toutefois que les autorités cantonales compétentes aient renoncé à exiger la création de places de parc en lien avec l’atelier de ferblanterie destiné à recevoir des travailleurs. S’agissant d’un bâtiment sis hors zone à bâtir, il appartient avant tout aux autorités cantonales – et non à la municipalité – de se prononcer sur la question des places de stationnement. 4. Vu ce qui précède, le recours doit être rejeté par substitution de motifs . La recourante qui succombe supportera les frais judiciaires arrêtés à 3'000 fr. (art. 49 al. 1 LPA-VD; art. 4 du tarif des frais judiciaires et des dépens en matière administrative [TFJDA; BVL 173.36.5.1]), ainsi qu'une indemnité à titre de dépens en faveur de la Commune de Lully qui a procédé avec l'assistance d'un avocat (art. 55 LPA-VD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