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AC.2024.0198 vom 18. Februar 2025</w:t>
      </w:r>
    </w:p>
    <w:p>
      <w:r>
        <w:t>VD Tribunal cantonal, 2025-02-18, FR</w:t>
      </w:r>
    </w:p>
    <w:p>
      <w:r>
        <w:rPr>
          <w:b/>
        </w:rPr>
        <w:t xml:space="preserve">Quelle: </w:t>
      </w:r>
      <w:r>
        <w:t>https://mcp.opencaselaw.ch/entscheid/vd_omni_AC.2024.0198</w:t>
      </w:r>
    </w:p>
    <w:p>
      <w:r>
        <w:t>FR: VD_OMNI AC.2024.0198 du 18 février 2025</w:t>
      </w:r>
    </w:p>
    <w:p>
      <w:r>
        <w:t>IT: VD_OMNI AC.2024.0198 del 18 febbraio 2025</w:t>
      </w:r>
    </w:p>
    <w:p>
      <w:pPr>
        <w:pStyle w:val="Heading2"/>
      </w:pPr>
      <w:r>
        <w:t>Regeste</w:t>
      </w:r>
    </w:p>
    <w:p>
      <w:r>
        <w:t>A.________, B.________/Direction générale du territoire et du logement, Municipalité de Begnins | Admission partielle du recours dirigé contre un ordre de remise en état portant sur des constructions réalisées en zone agricole. Les murs latéraux maintenant le portail d'entrée de la propriété, régularisé par la DGTL, forment une unité fonctionnelle et architecturale avec ce dernier, et assurent la sécurité routière: leur suppression serait disproportionnée. Confirmation de l'ordre de remise en état pour les autres points (place en dur devant le garage, cabane à chèvres, serre préfabriquée).</w:t>
      </w:r>
    </w:p>
    <w:p>
      <w:pPr>
        <w:pStyle w:val="Heading2"/>
      </w:pPr>
      <w:r>
        <w:t>Erwägungen</w:t>
      </w:r>
    </w:p>
    <w:p>
      <w:r>
        <w:rPr>
          <w:b/>
        </w:rPr>
        <w:t>E. 1</w:t>
      </w:r>
    </w:p>
    <w:p>
      <w:r>
        <w:t>La voie du recours de droit administratif, au sens des art. 92 ss de la loi sur la procédure administrative (LPA-VD; BLV 173.36), est ouverte contre une décision prise par la DGTL, concernant des constructions ou des installations hors de la zone à bâtir. Déposé en temps utile (cf. art. 95 LPA-VD), le recours respecte en outre les conditions formelles de recevabilité (en particulier art. 79 LPA-VD, applicable par renvoi de l'art. 99 LPA-VD). Les propriétaires des ouvrages concernés par la décision attaquée ont manifestement la qualité pour recourir (art. 75 let. a LPA-VD, applicable par renvoi de l'art. 99 LPA-VD). Les recourants ne contestent pas l'ordre d'évacuation des palettes évoqué au ch. 5 du dispositif de la décision attaquée. Cet élément n'est par conséquent pas compris dans l'objet du litige.</w:t>
      </w:r>
    </w:p>
    <w:p>
      <w:r>
        <w:rPr>
          <w:b/>
        </w:rPr>
        <w:t>E. 2</w:t>
      </w:r>
    </w:p>
    <w:p>
      <w:r>
        <w:t>.</w:t>
      </w:r>
    </w:p>
    <w:p>
      <w:r>
        <w:rPr>
          <w:b/>
        </w:rPr>
        <w:t>E. 3</w:t>
      </w:r>
    </w:p>
    <w:p>
      <w:r>
        <w:t>Les recourants prétendent que le rétablissement de l'état de droit est contraire aux principes de la proportionnalité et de la bonne foi. a) aa) Une restriction de la garantie de la propriété liée à un ordre de remise en état n'est admissible que si elle est fondée sur une base légale, si elle est justifiée par un intérêt public et si elle est proportionnée (cf. art. 36 de la Constitution fédérale [Cst.; RS 101]). Selon la jurisprudence, l'ordre de supprimer ou de mettre en conformité une construction ou une installation réalisée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ou le rétablissement de l'état conforme au droit causerait au maître de l'ouvrage, si celui-ci pouvait de bonne foi se croire autorisé à réaliser la construction ou l'installation ou encore s'il y a des chances sérieuses de la faire reconnaître comme conforme au droit (cf. ATF 132 II 21 consid. 6; 123 II 248 consid. 3a/bb; TF 1C_357/2023 du 13 mai 2024 consid. 4.1).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(ATF 123 II 248 consid. 4a; 111 Ib 213 consid. 6b; TF 1C_357/2023 précité consid. 4.1). bb) La suppression des constructions illégales situées hors de la zone à bâtir concrétise le principe fondamental en matière d'aménagement du territoire de la séparation du territoire bâti et non bâti. Ce principe serait en effet remis en question si des constructions illégales, contraires au droit de l'aménagement du territoire, n'étaient pas supprimées, mais tolérées indéfiniment (ATF 147 II 309 consid. 5.5; TF 1C_276/2016 du 2 juin 2017 consid. 3.3). En outre, dans la mesure où la prohibition de construire hors des zones à bâtir répond à une préoccupation centrale de l'aménagement du territoire (art. 75 al. 1 Cst.; 1 al. 1 de la loi fédérale sur l'aménagement du territoire [LAT; RS 700]), cet intérêt public l'emporte en principe sur l'intérêt privé financier des propriétaires à s'opposer au rétablissement d'une situation conforme au droit (TF 1C_276/2016 précité consid. 3.3; CDAP AC.2023.0231 du 5 janvier 2024 consid. 4a et les références). Cela vaut également pour les constructions de peu d'importance, en termes de surface et de volume, qui se trouvent à proximité d'une maison d'habitation et qui empiètent sur le territoire non constructible (TF 1C_102/2022 du 9 juillet 2024 consid. 8.2 et les arrêts cités). b) Dans sa décision attaquée, la DGTL relève que le portail d'entrée et les murs latéraux, construits au début des années 2000, modifient l'identité des abords des bâtiments et excèdent ce qui peut être admis au titre de la garantie de la situation acquise (cf. art. 24c LAT et 42 de l'ordonnance sur l'aménagement du territoire [OAT; RS 700.1]). Elle estime que si le portail peut être maintenu, les murs latéraux qui le soutiennent de part et d'autre doivent être supprimés (ch. 1 i.i. du dispositif de la décision attaquée). D'après l'autorité intimée, cette mesure est proportionnée, compte tenu de l'intérêt public particulièrement important lié à la séparation de l'espace bâti et non bâti. Pour leur part, les recourants relèvent qu'ils ont agi de bonne foi, en aménageant l'entrée de la propriété conformément aux indications et aux conseils du voyer, en 2001, autorité qu'ils considéraient comme compétente en la matière. Ils soulignent également que la suppression des murs latéraux, outre qu'elle remet en cause la sécurité de l'accès, les exposerait à des frais disproportionnés. L'entrée de la propriété des recourants consiste en un portail coulissant, soutenu de part et d'autre par des murs latéraux en béton, habillés d'un parement en pierres naturelles. Il est difficile de dissocier, dans ce dispositif d'entrée, les murs latéraux du portail. L'ensemble de ces aménagements ont été réalisés par les recourants peu après avoir acquis la propriété, en 2000, afin de renforcer la sécurité de l'accès au domaine public, particulièrement dangereux à cet endroit. À cet égard, la CDAP a pu constater, lors de l'inspection locale, que le trafic sur la route de Burtigny est relativement important et que les véhicules automobiles circulent à vive allure. Les murs latéraux offrent dans ce cadre, avec leur configuration oblique, un espace de manœuvre au droit de la route, qui permet de déboucher plus facilement sur celle-ci. Dès lors que la DGTL a admis la régularisation du portail d'entrée, on voit difficilement comment les murs qui le soutiennent de part et d'autre pourraient être supprimés sans remettre en cause l'ensemble du dispositif et, par là, compromettre gravement la sécurité de l'accès. Autrement dit, il y a lieu d'admettre que si le portail est maintenu, il doit en aller de même des murs latéraux, qui forment avec lui une unité architecturale et fonctionnelle. Du reste, on ne voit pas que les seuls murs qui entourent le portail d'entrée, lui-même maintenu par la DGTL, portent une atteinte telle au territoire non constructible qu'il faille ordonner leur démolition. Il serait ainsi contraire au principe de la proportionnalité d'exiger la suppression de cette structure, qui n'a en définitive fait que remplacer, dans une optique de sécurité routière, la haie qui existait auparavant à cet endroit. Tout en retenant à raison que le portail ne peut pas être autorisé au regard de l'art. 24c LAT, la DGTL admet de manière contradictoire qu'il peut être régularisé, alors qu'il aurait dû faire l'objet d'une simple tolérance. La CDAP renonce toutefois à procéder sur ce point à une reformatio in pejus de la décision contestée. Par souci de cohérence entre le traitement juridique des trois éléments composant l'entrée à la propriété, il y a lieu d'admettre également que les deux murs latéraux en béton sont susceptibles d'être régularisés et non pas seulement tolérés. En raison de ce qui précède, le recours doit être admis s'agissant des deux murs latéraux entourant le portail d'entrée. Il n'y a ainsi pas lieu d'examiner les arguments que les recourants tirent de leur bonne foi en lien avec la construction du portail d'entrée. c) La DGTL a également exigé une réduction de la place en dur aménagée devant le garage, la limitant au strict nécessaire, conformément à un plan reproduit dans sa décision. Il s'agit de remettre en herbe les surfaces pavées de part et d'autre d'une zone définie par l'axe du portail d'entrée (ch. 2). Les recourants ne contestent pas que la place était initialement enherbée avant leurs travaux, à l'exception des accès au garage et au hangar. Lors de l'inspection locale, ils ont souligné que la suppression du pavage compromettrait l'accès au hangar, qui ne pourrait alors plus être rejoint que par l'ancien portail. Ce dernier n'est toutefois plus utilisable pour des raisons évidentes de sécurité routière. Prenant en compte cet argument, la DGTL a modifié sa décision à la suite de l'inspection locale, en admettant, sur les côtés, l'aménagement d'un gazon stabilisé (plutôt que de l'herbe). Cette solution garantit un accès sécurisé à la route cantonale tout en respectant mieux l'identité des abords de la propriété. La CDAP ne voit pas de motif de s'écarter de cette solution. Le maintien d'une surface en dur empiétant de manière relativement importante sur la zone de non-bâtir n'est pas acceptable. En proposant une mesure moins incisive que sa suppression, la DGTL respecte le principe de la proportionnalité. Dès lors, le grief des recourants fondé sur une prétendue violation de celui-ci doit être rejeté. d) La DGTL demande enfin la suppression de la cabane à chèvres (ch. 3) et de la serre préfabriquée (ch. 4), ainsi que le réensemencement du terrain. Cette exigence doit être confirmée. Conformément à la jurisprudence susmentionnée, même des constructions de peu d'importance, en termes de surface et de volume, doivent être supprimées lorsqu'elles empiètent sur la zone agricole, ce qui est le cas en l'espèce. On ne voit pas quel intérêt privé des recourants l'emporterait sur l'intérêt public, particulièrement important, lié à la séparation du territoire bâti et non bâti, étant précisé que l'enlèvement de ces ouvrages, qui sont des constructions légères sans fondations et donc facilement démontables, et le réensemencement du terrain ne devraient pas exposer les recourants à des frais importants. Une autorisation dérogatoire pour la cabane à chèvres fondée sur l'art. 24e LAT n'entre pas en ligne de compte, dès lors que cet ouvrage ne constitue à l'évidence pas un bâtiment – ou une partie de bâtiment – existant pouvant faire l'objet de travaux de transformations au sens de la disposition précitée, ce d'autant qu'elle n'a jamais été autorisée (cf. TF 1C_618/2023 du 9 octobre 2024 consid. 3.2). Par ailleurs, les recourants ne peuvent tirer aucun argument juridique de la fonction pédagogique de la cabane à chèvres – utilisée par une animatrice de la petite enfance – ni de l'utilisation de la serre pour la culture personnelle de légumes. Comme déjà relevé ci-dessus au consid. 2, ces éléments ne peuvent pas être régularisés.</w:t>
      </w:r>
    </w:p>
    <w:p>
      <w:r>
        <w:rPr>
          <w:b/>
        </w:rPr>
        <w:t>E. 4</w:t>
      </w:r>
    </w:p>
    <w:p>
      <w:r>
        <w:t>S'agissant des éléments susceptibles d'être régularisés (ch. 7 à 9 du dispositif de la décision contestée [réduit et couvert se trouvant de part et d'autre du garage ECA n° 570, portail d'entrée et chemin piétonnier] et murs latéraux entourant le portail), les recourants estiment que ces ouvrages pourraient être régularisés sans enquête publique. Au vu de leur importance et de leur localisation, ces aménagements ne sauraient être dispensés ni d'autorisation, ni d'enquête publique. Celle-ci permettra notamment de recueillir les préavis et autorisations éventuelles d'autres services de l'administration cantonale, en particulier de la Direction générale de la mobilité et des routes (DGMR) en raison de la proximité immédiate de la route cantonale.</w:t>
      </w:r>
    </w:p>
    <w:p>
      <w:r>
        <w:rPr>
          <w:b/>
        </w:rPr>
        <w:t>E. 5</w:t>
      </w:r>
    </w:p>
    <w:p>
      <w:r>
        <w:t>Les considérants qui précèdent conduisent à l'admission partielle du recours. Cela entraîne la réforme de la décision attaquée, dans le sens du considérant 3. Le délai initialement fixé par la DGTL pour procéder aux mesures de remise en état étant échu, un nouveau délai doit être fixé aux propriétaires pour ce faire. Il en va de même du délai imparti pour déposer une demande de permis de construire tendant à la légalisation des travaux régularisables (let. B. du dispositif de la décision attaquée). Un émolument judiciaire réduit est mis à la charge des recourants, qui n'obtiennent que partiellement gain de cause (art. 49 LPA-VD). Ils ont toutefois droit à une indemnité de dépens, également réduite, à charge de l'Etat de Vaud (art. 55 LPA-VD). La municipalité de Begnins, qui s'en est remise à justice,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