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AC.2024.0157 vom 16. Juli 2024</w:t>
      </w:r>
    </w:p>
    <w:p>
      <w:r>
        <w:t>VD Tribunal cantonal, 2024-07-16, FR</w:t>
      </w:r>
    </w:p>
    <w:p>
      <w:r>
        <w:rPr>
          <w:b/>
        </w:rPr>
        <w:t xml:space="preserve">Quelle: </w:t>
      </w:r>
      <w:r>
        <w:t>https://mcp.opencaselaw.ch/entscheid/vd_omni_AC.2024.0157</w:t>
      </w:r>
    </w:p>
    <w:p>
      <w:r>
        <w:t>FR: VD_OMNI AC.2024.0157 du 16 juillet 2024</w:t>
      </w:r>
    </w:p>
    <w:p>
      <w:r>
        <w:t>IT: VD_OMNI AC.2024.0157 del 16 luglio 2024</w:t>
      </w:r>
    </w:p>
    <w:p>
      <w:pPr>
        <w:pStyle w:val="Heading2"/>
      </w:pPr>
      <w:r>
        <w:t>Regeste</w:t>
      </w:r>
    </w:p>
    <w:p>
      <w:r>
        <w:t>A.________/Municipalité de Bussigny | Recours irrecevable faute de répondre aux exigences de motivation. Les griefs se rapportent uniquement à des décisions distinctes de la décision attaquée. Recours irrecevable au TF arrêt du 29.08.2024 (1C_473/2024).</w:t>
      </w:r>
    </w:p>
    <w:p>
      <w:pPr>
        <w:pStyle w:val="Heading2"/>
      </w:pPr>
      <w:r>
        <w:t>Erwägungen</w:t>
      </w:r>
    </w:p>
    <w:p>
      <w:r>
        <w:rPr>
          <w:b/>
        </w:rPr>
        <w:t>E. 1</w:t>
      </w:r>
    </w:p>
    <w:p>
      <w:r>
        <w:t>Il convient d’examiner la recevabilité du recours du recourant. a) Aux termes de l’art. 79 de la loi vaudoise du 28 octobre 2008 sur la procédure administrative (LPA-VD; BLV 173.36),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arrêt PS.2023.0006 du 17 mai 2023 consid. 1a/bb, et les références citées). b) En l’espèce, le recours est manifestement irrecevable en tant qu’il ne répond pas aux exigences de motivation. En effet, l’acte de recours n’est pas dirigé contre la décision municipale du 26 avril 2024 autorisant la construction de deux immeubles d’habitation sur la parcelle n° 3368 de la commune de Bussigny. Les griefs soulevés par le recourant se rapportent uniquement aux décisions rendues par la Commission de classification du Syndicat d’améliorations foncières de Bussigny-Ouest en matière de répartition des frais dans cadre d’un remaniement parcellaire. (A noter que ces griefs avaient déjà été examinés et rejetés par la cour de céans dans l’arrêt AF.2021.0002 du 10 décembre 2021, entré en force). A cela s’ajoute que même les arguments du recourant avancés à l’appui de l’opposition dans le cadre de la mise à l’enquête du projet de construction en cause se rapportaient à un tout autre litige (zone réservée) concernant une parcelle sise sur une autre commune. En résumé, la motivation du recours ne se rapporte pas à l’objet de la décision attaquée. Autrement dit, les griefs contenus dans le présent recours n’ont aucun lien avec la décision attaquée.</w:t>
      </w:r>
    </w:p>
    <w:p>
      <w:r>
        <w:rPr>
          <w:b/>
        </w:rPr>
        <w:t>E. 2</w:t>
      </w:r>
    </w:p>
    <w:p>
      <w:r>
        <w:t>Le recours est ainsi manifestement irrecevable. Un émolument de justice est mis à la charge du recourant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