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AC.2024.0149 vom 8. April 2025</w:t>
      </w:r>
    </w:p>
    <w:p>
      <w:r>
        <w:t>VD Tribunal cantonal, 2025-04-08, FR</w:t>
      </w:r>
    </w:p>
    <w:p>
      <w:r>
        <w:rPr>
          <w:b/>
        </w:rPr>
        <w:t xml:space="preserve">Quelle: </w:t>
      </w:r>
      <w:r>
        <w:t>https://mcp.opencaselaw.ch/entscheid/vd_omni_AC.2024.0149</w:t>
      </w:r>
    </w:p>
    <w:p>
      <w:r>
        <w:t>FR: VD_OMNI AC.2024.0149 du 8 avril 2025</w:t>
      </w:r>
    </w:p>
    <w:p>
      <w:r>
        <w:t>IT: VD_OMNI AC.2024.0149 del 8 aprile 2025</w:t>
      </w:r>
    </w:p>
    <w:p>
      <w:pPr>
        <w:pStyle w:val="Heading2"/>
      </w:pPr>
      <w:r>
        <w:t>Regeste</w:t>
      </w:r>
    </w:p>
    <w:p>
      <w:r>
        <w:t>A.________, B.________, C.________/Municipalité de Pully, Direction générale de l'environnement DGE-DIRNA, D.________, E.________, F.________ | Recours contre l'octroi du permis de construire autorisant la démolition de la villa existante et la construction d'un bâtiment d'habitation avec garage souterrain. Arbres: le Tribunal considère que les mesures exigées dans le permis de construire, strictement respectées et exécutées par une entreprise spécialisée dans la gestion des arbres et la protection du patrimoine arboricole, offriront de bonnes perspectives de survie au cèdre de l'Himalaya, dont l'espace vital sera partiellement atteint par le sous-sol à créer; 10 arbres peuvent être abattus au regard notamment des impératifs de construction, mais doivent tous être compensés, même ceux qui ne sont pas protégés au sens du règlement communal et il y a lieu de réformer la décision en ce sens (consid. 2). Rejet des autres griefs relatifs à l'esthétique (consid. 3) et à l'indice de pleine terre (consid. 4). Recours très partiellement admis. Recours au TF irrecevable (cause 1C_286/2025).</w:t>
      </w:r>
    </w:p>
    <w:p>
      <w:pPr>
        <w:pStyle w:val="Heading2"/>
      </w:pPr>
      <w:r>
        <w:t>Erwägungen</w:t>
      </w:r>
    </w:p>
    <w:p>
      <w:r>
        <w:rPr>
          <w:b/>
        </w:rPr>
        <w:t>E. 1</w:t>
      </w:r>
    </w:p>
    <w:p>
      <w:r>
        <w:t>Interjeté dans le délai de trente jours dès la notification de la décision par, notamment, la propriétaire de la parcelle voisine ayant manifestement un intérêt digne de protection et qui a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 sur le fond.</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2.2</w:t>
      </w:r>
    </w:p>
    <w:p>
      <w:r>
        <w:t>des conditions particulières communales, chapitre 2 "Dérogations") tout en autorisant l'abattage de cinq arbres protégés (ch. 5 des conditions particulières communales, intitulé "Autorisations spéciales"), ce qui induit une confusion. En effet, ce ne sont pas cinq arbres qui nécessitent une autorisation d'abattage en tout mais bien onze: quatre arbres à abattre sont protégés au sens de la réglementation communale, six arbres à abattre ne le sont pas et le cèdre, non abattu, nécessite une autorisation d'abattage en application de l'art. 4 al. 2, deuxième tiret, RCPA (travaux ou fouilles). Depuis l'entrée en vigueur de la LPrPNP, les communes ne doivent par ailleurs plus délivrer une autorisation d'abattage mais octroyer une dérogation pour l'abattage des arbres (art. 15 al. 1 et 2 LPrPNP), comme l'a fait la municipalité sous chiffre 2.2 du permis de construire. S'agissant de la compensation, le Tribunal a déjà jugé que même si l'on interprète l'art. 71 al. 4 LPrPNP (consacré au droit transitoire et applicable en l'espèce) en ce sens que c'est encore la réglementation communale qui définit les arbres protégés, il n'en demeure pas moins que le nouvel art. 16 LPrPNP, relatif au remplacement du patrimoine arboré, est déjà applicable. L'art. 71 al. 5 LPrPNP prévoit en effet que les dispositions de cette loi traitant de la compensation sont applicables dans tous les cas, dès le 1 er janvier 2023 (CDAP AC.2023.0206 du 27 juin 2024 consid. 7d). Cela signifie dans le cas présent que les dix arbres abattus - ainsi que le cèdre en application de la réglementation communale - doivent être compensés. Le recours est donc bien fondé sur ce point et la décision attaquée doit être réformée en ce sens. dd) Au final et compte tenu de l'ensemble des circonstances, le Tribunal retient que, moyennant le respect strict des mesures de protection figurant dans le permis de construire, le cèdre présente des chances de survie suffisamment élevées et que les autres arbres peuvent être abattus au regard notamment des impératifs de construction sur cette parcelle bien située dans le périmètre compact de l'agglomération Lausanne-Morges, bien reliée aux transports publics et à proximité de toutes les commodités, dont la densification répond également à un intérêt public important; plusieurs arbres à abattre présentent par ailleurs des qualités tout à fait moyennes, voire des perspectives de maintien inférieures à cinq ans. Le permis de construire devra toutefois être réformé sur le point de la compensation, onze arbres devant être compensés, si nécessaire au moyen d'une taxe compensatoire dont le montant devra être déterminé conformément à l'art. 16 al. 2, dernière phrase, LPrPNP. d) Les recourants considèrent également qu'en ayant traité distinctement la demande d'abattage de cinq arbres supplémentaires, l'autorité intimée n'a pas respecté le principe de coordination de l'art. 25a de la loi fédérale du 22 juin 1979 sur l'aménagement du territoire (LAT; RS 700). aa) L'art. 25a LAT énonce, à ses al. 1 à 3, des principes en matière de coordination lorsque l'implantation ou la transformation d'une construction ou d'une installation nécessite des décisions émanant de plusieurs autorités. Il prévoit qu'une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cf. TF 1C_319/2013 du 17 avril 2014 consid. 2.2.1). Il ressort de ce qui précède que le principe de coordination vise avant tout les situations dans lesquelles un projet nécessite des décisions émanant de plusieurs autorités. On relève en outre que le Tribunal fédéral, se référant à l'art. 15 RPNMS, a notamment jugé qu'une demande d'abattage pouvait être examinée indépendamment de tout projet de construction, lorsque les arbres en question rendaient toute construction impossible ou difficile sur la parcelle (TF 1P.532/1999 du 23 décembre 1999 consid. 3c; AC.2013.0169 du 27 février 2014 consid. 1). bb) En l'espèce, si les demandes d'abattage ont fait l'objet d'une procédure en deux temps - la demande d'abattage initiale ayant été complétée avec une demande supplémentaire soumise à enquête publique complémentaire -, elles ont toutefois fait l'objet d'une seule décision rendue par une seule autorité, laquelle a coordonné les décisions ou prises de positions de l'ensemble des autorités concernées par le projet. Il s'ensuit que l'art. 25a LAT a bien été respecté. 3. Les recourants critiquent l'esthétique et l'intégration du projet. a) aa) Aux termes de l'art. 86 de la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32 RCATC dispose que la Municipalité peut prendre des dispositions exceptionnelles (notamment en application de l'article 86 LATC) pour sauvegarder les qualités particulières d'un lieu ou pour tenir compte de situations acquises. Elle peut ainsi recourir aux articles 64 et suivants de la LATC. L'art. 33 RCATC prévoit quant à lui que la Municipalité approuve le choix et la couleur des matériaux d'un bâtiment, la forme et le type de couverture de son toit en vue d'assurer l'harmonisation et l'intégration d'une construction au milieu bâti environnant. bb)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rappelée dans l'arrêt cantonal AC.2018.0177 du 11 décembre 2018 consid. 1c). Il incombe au premier chef aux autorités municipales de veiller à l'aspect architectural des constructions; elles disposent pour ce faire d'un large pouvoir d'appréciation (ATF 115 Ia 370 consid. 3; CDAP AC.2018.0177 du 11 décembre 2018 consid. 1c ). Dans ce contexte, l'autorité doit néanmoins prendre garde à ce que l'application d'une clause d'esthétique n'aboutisse pas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 TF 1C_234/2020 du 5 février 2021 consid. 7.2, 1C_55/2019 du 16 mars 2020 consid. 5.2, 1C_610/2018 du 12 juin 2019 consid. 5.1.2, avec des références à d'anciens arrêts publiés ATF 115 Ia 114 consid. 3d, ATF 115 Ia 363 consid. 3a, ATF 101 Ia 213 consid. 6c). cc)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et sur une pesée soigneuse des intérêts, l'instance de recours doit la respecter (CDAP AC.2023.0182 du 3 octobre 2024 consid. 2).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Selon la jurisprudence du Tribunal fédéral, sur des éléments susceptibles de heurter le droit supérieur, il appartient à la commune de motiver soigneusement sa décision.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voir aussi AC.2020.0276 du 18 mars 2021 consid. 2d). A cet égard, le Tribunal fédéral a retenu que, si, pour des raisons esthétiques, l'autorité communale des constructions exige une réduction de l'indice brut d'utilisation de masse en principe admissible, cette réduction doit être justifiée par des intérêts publics prépondérants. L'utilisation de l'indice maximal correspond en principe à un intérêt public, puis que la politique suisse d'aménagement du territoire poursuit l'objectif important de concentrer le développement de l'urbanisation à l'intérieur du milieu bâti en créant des agglomérations compactes, de façon à garantir une utilisation mesurée du sol. Si le plan d'affectation admet la construction d'un certain nombre d'étages, on ne peut pas de manière générale dans un quartier exiger que le nombre d'étages soit réduit d'une unité, pour des motifs esthétiques, à moins que cela soit justifié par des intérêts publics prépondérants, comme la préservation de bâtiments ou d'ensembles bénéficiant de mesures de protection des monuments historiques (ATF 145 I 52 consid. 4.4). Les intérêts à la réalisation des objectifs d'aménagement du territoire de la Confédération, tels qu'ils sont énoncés dans la LAT depuis la révision entrée en vigueur en 2014, doivent donc être pris en considération, singulièrement l'intérêt à la densification (développement de l'urbanisation vers l'intérieur du milieu bâti), face aux intérêts à la protection des monuments historiques. Le poids accordé à l'exigence de densification dans la pesée des intérêts dépend de l'importance de l'objet protégé concerné (cf. art. 1 al. 1 al. 2 let. a bis et art. 3 al. 3 let. a bis LAT; ATF 147 II 125 consid. 9). c) Les recourants ont précisé à l'occasion de l'inspection locale qu'ils contestaient l'esthétique même du projet en tant que telle et en lien avec le cèdre, qui pourrait notamment être perturbé par la lumière réfléchie par les larges parties vitrées en façade sud-ouest. Ils ne critiquent en revanche pas l'intégration du bâtiment au quartier. En l'espèce, le projet prend place dans un quartier d'aspect hétéroclite, avec d'autres bâtiments du même type que le projet contesté. L'architecture du projet présente un aspect contemporain relativement usuel, avec des balcons généreux sans être excessifs. La municipalité a rappelé avoir refusé un précédent projet au motif notamment que les balcons étaient trop imposants par rapport aux façades. S'agissant du projet ici contesté, le Tribunal adhère à la position de la municipalité que l'apparence globale de la construction est moins imposante. Il est vrai que le projet présente des dimensions largement supérieures à la villa existante; il n'en demeure pas moins qu'il respecte les prescriptions communales et ne se distinguera pas dans une mesure sensible des bâtiments environnants. Il s'insérera en outre harmonieusement sur la parcelle. Quant à son influence sur le cèdre en raison notamment de ses nombreuses fenêtres, ce motif évoqué uniquement au stade de l'audience n'a nullement été développé et encore moins étayé. Tout bien considéré, le Tribunal retient que la municipalité n'a pas abusé de son important pouvoir d'appréciation en considérant que le projet est admissible s'agissant de son esthétique et de son intégration. Il s'ensuit que ce grief doit être écarté.</w:t>
      </w:r>
    </w:p>
    <w:p>
      <w:r>
        <w:rPr>
          <w:b/>
        </w:rPr>
        <w:t>E. 3</w:t>
      </w:r>
    </w:p>
    <w:p>
      <w:r>
        <w:t>L'entretien du patrimoine arboré est possible dans les limites du droit fédéral et cantonal. Il incombe au propriétaire du bien-fonds concerné qui peut le confier à un tiers exploitant.</w:t>
      </w:r>
    </w:p>
    <w:p>
      <w:r>
        <w:rPr>
          <w:b/>
        </w:rPr>
        <w:t>E. 4</w:t>
      </w:r>
    </w:p>
    <w:p>
      <w:r>
        <w:t>Dans un dernier grief, les recourants font valoir que la règle relative à l'indice de pleine terre de 50% n'est pas respectée. a) Il ressort de la décision entreprise que l'autorité intimée envisage d'adopter une zone réservée, dont le règlement permettra notamment les extensions, les démolitions-reconstructions et les nouvelles constructions respectant un indice minimal de pleine terre de 50%. A cet effet, elle a déclaré refuser d'ores et déjà, en application de l'art. 47 LATC, les projets ne respectant pas ce critère. De pratique constante, elle déduit de la surface de pleine terre la surface des constructions, souterraine, hors-sol et au-dessus du sol (y compris balcon, saut de loup, garage, rampe d'accès etc.), les terrasses aménagées (dallage, deck, etc.), les accès voiture et place de stationnement (même perméable), les places de jeux, l'accès principal piéton (par ex. surface dure pour l'accessibilité des personnes à mobilité réduite), les cheminements piétonniers à l'intérieur de la parcelle en enrobé ou en béton, perméable ou imperméable, les piscines enterrées et hors-sols, jacuzzis etc. et enfin les couvertes et autres constructions assimilables à un couvert. En revanche, les éléments suivants ne sont pas déduits de la surface de pleine terre: les murs de soutènement, les cheminements piétonniers perméables d'accès au jardin et à la place de jeux (cheminement gravier, pas japonais etc.) d'une largeur maximum de 1.2 m et enfin les avant-toits de dimension usuelle. En application de ces critères, elle a considéré que le projet était conforme au futur règlement de la zone réservée. b) Il apparaît que cette règlementation n'était ni adoptée ni même mise à l'enquête lorsque la décision attaquée a été rendue. Elle n'était donc pas contraignante (art. 49 LATC), mais la municipalité a choisi d'appliquer l'art. 47 al. 1 LATC qui lui permet de refuser un permis de construire lorsqu'un projet de construction, bien que conforme, compromet une modification de plan envisagée, non encore soumise à l'enquête publique. Or, il ressort des plans au dossier que ce coefficient est respecté par le projet litigieux et l'on ne discerne pas d'élément qui infirmerait ce constat. En particulier, il n'y a pas lieu de suivre les recourants lorsqu'ils entendent retrancher plusieurs surfaces pour le motif qu'elles seraient trop petites et/ou enclavées dans des surfaces imperméabilisées. Ce grief doit partant être rejeté.</w:t>
      </w:r>
    </w:p>
    <w:p>
      <w:r>
        <w:rPr>
          <w:b/>
        </w:rPr>
        <w:t>E. 5</w:t>
      </w:r>
    </w:p>
    <w:p>
      <w:r>
        <w:t>Les considérants qui précèdent conduisent à l'admission très partielle du recours, s'agissant uniquement de l'étendue de la compensation des arbres abattus. Par conséquent, l'émolument judiciaire sera réparti entre les recourants, principalement, et la constructrice, pour une faible part. Succombant pour l'essentiel, les recourants verseront des dépens légèrement réduits à la municipalité et à la constructrice, qui ont agi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